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43513" w14:textId="53014B1C" w:rsidR="002C355C" w:rsidRPr="00650689" w:rsidRDefault="002C355C" w:rsidP="002C355C">
      <w:pPr>
        <w:pStyle w:val="Titre1"/>
        <w:rPr>
          <w:rStyle w:val="Accentuation"/>
          <w:i w:val="0"/>
          <w:iCs w:val="0"/>
          <w:lang w:val="en-US"/>
        </w:rPr>
      </w:pPr>
      <w:proofErr w:type="spellStart"/>
      <w:r w:rsidRPr="00650689">
        <w:rPr>
          <w:i/>
          <w:iCs/>
          <w:lang w:val="en-US"/>
        </w:rPr>
        <w:t>Castaño</w:t>
      </w:r>
      <w:proofErr w:type="spellEnd"/>
      <w:r w:rsidRPr="00650689">
        <w:rPr>
          <w:lang w:val="en-US"/>
        </w:rPr>
        <w:t xml:space="preserve"> dampen</w:t>
      </w:r>
      <w:r w:rsidR="008A5A7B" w:rsidRPr="00650689">
        <w:rPr>
          <w:lang w:val="en-US"/>
        </w:rPr>
        <w:t>s</w:t>
      </w:r>
      <w:r w:rsidRPr="00650689">
        <w:rPr>
          <w:lang w:val="en-US"/>
        </w:rPr>
        <w:t xml:space="preserve"> tensions between the</w:t>
      </w:r>
      <w:r w:rsidR="008A5A7B" w:rsidRPr="00650689">
        <w:rPr>
          <w:lang w:val="en-US"/>
        </w:rPr>
        <w:t xml:space="preserve"> two</w:t>
      </w:r>
      <w:r w:rsidRPr="00650689">
        <w:rPr>
          <w:lang w:val="en-US"/>
        </w:rPr>
        <w:t xml:space="preserve"> European Courts but erode</w:t>
      </w:r>
      <w:r w:rsidR="008A5A7B" w:rsidRPr="00650689">
        <w:rPr>
          <w:lang w:val="en-US"/>
        </w:rPr>
        <w:t>s</w:t>
      </w:r>
      <w:r w:rsidRPr="00650689">
        <w:rPr>
          <w:lang w:val="en-US"/>
        </w:rPr>
        <w:t xml:space="preserve"> </w:t>
      </w:r>
      <w:proofErr w:type="spellStart"/>
      <w:r w:rsidRPr="00650689">
        <w:rPr>
          <w:i/>
          <w:iCs/>
          <w:lang w:val="en-US"/>
        </w:rPr>
        <w:t>Soering’s</w:t>
      </w:r>
      <w:proofErr w:type="spellEnd"/>
      <w:r w:rsidRPr="00650689">
        <w:rPr>
          <w:i/>
          <w:iCs/>
          <w:lang w:val="en-US"/>
        </w:rPr>
        <w:t xml:space="preserve"> </w:t>
      </w:r>
      <w:r w:rsidRPr="00650689">
        <w:rPr>
          <w:lang w:val="en-US"/>
        </w:rPr>
        <w:t>human rights approach to cooperation</w:t>
      </w:r>
      <w:r w:rsidR="00583E5A" w:rsidRPr="00650689">
        <w:rPr>
          <w:lang w:val="en-US"/>
        </w:rPr>
        <w:t xml:space="preserve"> in criminal matters</w:t>
      </w:r>
    </w:p>
    <w:p w14:paraId="2A7BEF54" w14:textId="77777777" w:rsidR="00606EB9" w:rsidRDefault="00606EB9" w:rsidP="00606EB9">
      <w:pPr>
        <w:jc w:val="both"/>
        <w:rPr>
          <w:rFonts w:asciiTheme="minorHAnsi" w:hAnsiTheme="minorHAnsi" w:cstheme="minorHAnsi"/>
          <w:color w:val="000000" w:themeColor="text1"/>
          <w:sz w:val="20"/>
          <w:szCs w:val="20"/>
          <w:shd w:val="clear" w:color="auto" w:fill="FFFFFF"/>
          <w:lang w:val="en-US"/>
        </w:rPr>
      </w:pPr>
    </w:p>
    <w:p w14:paraId="61671D85" w14:textId="77777777" w:rsidR="00606EB9" w:rsidRDefault="00606EB9" w:rsidP="00606EB9">
      <w:pPr>
        <w:jc w:val="both"/>
        <w:rPr>
          <w:rFonts w:asciiTheme="minorHAnsi" w:hAnsiTheme="minorHAnsi" w:cstheme="minorHAnsi"/>
          <w:color w:val="000000" w:themeColor="text1"/>
          <w:sz w:val="20"/>
          <w:szCs w:val="20"/>
          <w:shd w:val="clear" w:color="auto" w:fill="FFFFFF"/>
          <w:lang w:val="en-US"/>
        </w:rPr>
      </w:pPr>
    </w:p>
    <w:p w14:paraId="1309E630" w14:textId="77777777" w:rsidR="00606EB9" w:rsidRDefault="00606EB9" w:rsidP="00606EB9">
      <w:pPr>
        <w:jc w:val="both"/>
        <w:rPr>
          <w:rFonts w:asciiTheme="minorHAnsi" w:hAnsiTheme="minorHAnsi" w:cstheme="minorHAnsi"/>
          <w:color w:val="000000" w:themeColor="text1"/>
          <w:sz w:val="20"/>
          <w:szCs w:val="20"/>
          <w:shd w:val="clear" w:color="auto" w:fill="FFFFFF"/>
          <w:lang w:val="en-US"/>
        </w:rPr>
      </w:pPr>
    </w:p>
    <w:p w14:paraId="710D6FAA" w14:textId="5AB2CFCB" w:rsidR="00606EB9" w:rsidRPr="00086F10" w:rsidRDefault="00606EB9" w:rsidP="00650689">
      <w:pPr>
        <w:ind w:left="709"/>
        <w:jc w:val="both"/>
        <w:rPr>
          <w:rFonts w:asciiTheme="minorHAnsi" w:hAnsiTheme="minorHAnsi" w:cstheme="minorHAnsi"/>
          <w:color w:val="000000" w:themeColor="text1"/>
          <w:sz w:val="20"/>
          <w:szCs w:val="20"/>
          <w:shd w:val="clear" w:color="auto" w:fill="FFFFFF"/>
          <w:lang w:val="en-US"/>
        </w:rPr>
      </w:pPr>
      <w:r w:rsidRPr="00650689">
        <w:rPr>
          <w:rFonts w:asciiTheme="minorHAnsi" w:hAnsiTheme="minorHAnsi" w:cstheme="minorHAnsi"/>
          <w:i/>
          <w:iCs/>
          <w:color w:val="000000" w:themeColor="text1"/>
          <w:sz w:val="20"/>
          <w:szCs w:val="20"/>
          <w:shd w:val="clear" w:color="auto" w:fill="FFFFFF"/>
          <w:lang w:val="en-US"/>
        </w:rPr>
        <w:t>“</w:t>
      </w:r>
      <w:r w:rsidR="000B2DDF">
        <w:rPr>
          <w:rFonts w:asciiTheme="minorHAnsi" w:hAnsiTheme="minorHAnsi" w:cstheme="minorHAnsi"/>
          <w:i/>
          <w:iCs/>
          <w:color w:val="000000" w:themeColor="text1"/>
          <w:sz w:val="20"/>
          <w:szCs w:val="20"/>
          <w:shd w:val="clear" w:color="auto" w:fill="FFFFFF"/>
          <w:lang w:val="en-US"/>
        </w:rPr>
        <w:t>T</w:t>
      </w:r>
      <w:r w:rsidRPr="00650689">
        <w:rPr>
          <w:rFonts w:asciiTheme="minorHAnsi" w:hAnsiTheme="minorHAnsi" w:cstheme="minorHAnsi"/>
          <w:i/>
          <w:iCs/>
          <w:color w:val="000000" w:themeColor="text1"/>
          <w:sz w:val="20"/>
          <w:szCs w:val="20"/>
          <w:shd w:val="clear" w:color="auto" w:fill="FFFFFF"/>
          <w:lang w:val="en-US"/>
        </w:rPr>
        <w:t xml:space="preserve">he (EU Charter) rights of citizenship, which presuppose movement, also provide the basis for the movement of coercive state powers. These powers enter into networks to extend their reach and in so doing exceed the national settlements of civil liberties and police powers. A similar extension of civil liberties into a network of accumulating rights is not occurring or apparently intended. The result then is an imbalance which </w:t>
      </w:r>
      <w:proofErr w:type="spellStart"/>
      <w:r w:rsidRPr="00650689">
        <w:rPr>
          <w:rFonts w:asciiTheme="minorHAnsi" w:hAnsiTheme="minorHAnsi" w:cstheme="minorHAnsi"/>
          <w:i/>
          <w:iCs/>
          <w:color w:val="000000" w:themeColor="text1"/>
          <w:sz w:val="20"/>
          <w:szCs w:val="20"/>
          <w:shd w:val="clear" w:color="auto" w:fill="FFFFFF"/>
          <w:lang w:val="en-US"/>
        </w:rPr>
        <w:t>favours</w:t>
      </w:r>
      <w:proofErr w:type="spellEnd"/>
      <w:r w:rsidRPr="00650689">
        <w:rPr>
          <w:rFonts w:asciiTheme="minorHAnsi" w:hAnsiTheme="minorHAnsi" w:cstheme="minorHAnsi"/>
          <w:i/>
          <w:iCs/>
          <w:color w:val="000000" w:themeColor="text1"/>
          <w:sz w:val="20"/>
          <w:szCs w:val="20"/>
          <w:shd w:val="clear" w:color="auto" w:fill="FFFFFF"/>
          <w:lang w:val="en-US"/>
        </w:rPr>
        <w:t xml:space="preserve"> extension of coercive powers and diminishes the force of protections of the individual</w:t>
      </w:r>
      <w:r w:rsidR="00FF0C52">
        <w:rPr>
          <w:rFonts w:asciiTheme="minorHAnsi" w:hAnsiTheme="minorHAnsi" w:cstheme="minorHAnsi"/>
          <w:i/>
          <w:iCs/>
          <w:color w:val="000000" w:themeColor="text1"/>
          <w:sz w:val="20"/>
          <w:szCs w:val="20"/>
          <w:shd w:val="clear" w:color="auto" w:fill="FFFFFF"/>
          <w:lang w:val="en-US"/>
        </w:rPr>
        <w:t>.</w:t>
      </w:r>
      <w:r w:rsidR="0008797C">
        <w:rPr>
          <w:rFonts w:asciiTheme="minorHAnsi" w:hAnsiTheme="minorHAnsi" w:cstheme="minorHAnsi"/>
          <w:i/>
          <w:iCs/>
          <w:color w:val="000000" w:themeColor="text1"/>
          <w:sz w:val="20"/>
          <w:szCs w:val="20"/>
          <w:shd w:val="clear" w:color="auto" w:fill="FFFFFF"/>
          <w:lang w:val="en-US"/>
        </w:rPr>
        <w:t>”</w:t>
      </w:r>
      <w:r w:rsidRPr="00650689">
        <w:rPr>
          <w:rFonts w:asciiTheme="minorHAnsi" w:hAnsiTheme="minorHAnsi" w:cstheme="minorHAnsi"/>
          <w:i/>
          <w:iCs/>
          <w:color w:val="000000" w:themeColor="text1"/>
          <w:sz w:val="20"/>
          <w:szCs w:val="20"/>
          <w:shd w:val="clear" w:color="auto" w:fill="FFFFFF"/>
          <w:lang w:val="en-US"/>
        </w:rPr>
        <w:t xml:space="preserve"> </w:t>
      </w:r>
      <w:r w:rsidR="00FF0C52">
        <w:rPr>
          <w:rFonts w:asciiTheme="minorHAnsi" w:hAnsiTheme="minorHAnsi" w:cstheme="minorHAnsi"/>
          <w:color w:val="000000" w:themeColor="text1"/>
          <w:sz w:val="20"/>
          <w:szCs w:val="20"/>
          <w:shd w:val="clear" w:color="auto" w:fill="FFFFFF"/>
          <w:lang w:val="en-US"/>
        </w:rPr>
        <w:t>E Guild, ‘</w:t>
      </w:r>
      <w:r w:rsidR="00FF0C52" w:rsidRPr="008A5A7B">
        <w:rPr>
          <w:rFonts w:asciiTheme="minorHAnsi" w:hAnsiTheme="minorHAnsi" w:cstheme="minorHAnsi"/>
          <w:color w:val="000000" w:themeColor="text1"/>
          <w:sz w:val="20"/>
          <w:szCs w:val="20"/>
          <w:shd w:val="clear" w:color="auto" w:fill="FFFFFF"/>
          <w:lang w:val="en-US"/>
        </w:rPr>
        <w:t>Citizenship, Immigration and the EU Charter</w:t>
      </w:r>
      <w:r w:rsidR="00FF0C52">
        <w:rPr>
          <w:rFonts w:asciiTheme="minorHAnsi" w:hAnsiTheme="minorHAnsi" w:cstheme="minorHAnsi"/>
          <w:color w:val="000000" w:themeColor="text1"/>
          <w:sz w:val="20"/>
          <w:szCs w:val="20"/>
          <w:shd w:val="clear" w:color="auto" w:fill="FFFFFF"/>
          <w:lang w:val="en-US"/>
        </w:rPr>
        <w:t>’</w:t>
      </w:r>
      <w:r w:rsidR="006E7B65">
        <w:rPr>
          <w:rFonts w:asciiTheme="minorHAnsi" w:hAnsiTheme="minorHAnsi" w:cstheme="minorHAnsi"/>
          <w:color w:val="000000" w:themeColor="text1"/>
          <w:sz w:val="20"/>
          <w:szCs w:val="20"/>
          <w:shd w:val="clear" w:color="auto" w:fill="FFFFFF"/>
          <w:lang w:val="en-US"/>
        </w:rPr>
        <w:t xml:space="preserve">, </w:t>
      </w:r>
      <w:r w:rsidR="00FF0C52">
        <w:rPr>
          <w:rFonts w:asciiTheme="minorHAnsi" w:hAnsiTheme="minorHAnsi" w:cstheme="minorHAnsi"/>
          <w:color w:val="000000" w:themeColor="text1"/>
          <w:sz w:val="20"/>
          <w:szCs w:val="20"/>
          <w:shd w:val="clear" w:color="auto" w:fill="FFFFFF"/>
          <w:lang w:val="en-US"/>
        </w:rPr>
        <w:t xml:space="preserve">Paper </w:t>
      </w:r>
      <w:r w:rsidR="00FF0C52" w:rsidRPr="008A5A7B">
        <w:rPr>
          <w:rFonts w:asciiTheme="minorHAnsi" w:hAnsiTheme="minorHAnsi" w:cstheme="minorHAnsi"/>
          <w:color w:val="000000" w:themeColor="text1"/>
          <w:sz w:val="20"/>
          <w:szCs w:val="20"/>
          <w:shd w:val="clear" w:color="auto" w:fill="FFFFFF"/>
          <w:lang w:val="en-US"/>
        </w:rPr>
        <w:t>Presented at Experts’ brainstorming meeting on: Complementarity and conflicts between security and civil liberties</w:t>
      </w:r>
      <w:r w:rsidR="00FF0C52">
        <w:rPr>
          <w:rFonts w:asciiTheme="minorHAnsi" w:hAnsiTheme="minorHAnsi" w:cstheme="minorHAnsi"/>
          <w:color w:val="000000" w:themeColor="text1"/>
          <w:sz w:val="20"/>
          <w:szCs w:val="20"/>
          <w:shd w:val="clear" w:color="auto" w:fill="FFFFFF"/>
          <w:lang w:val="en-US"/>
        </w:rPr>
        <w:t xml:space="preserve">, Brussels, </w:t>
      </w:r>
      <w:r w:rsidR="00FF0C52" w:rsidRPr="008A5A7B">
        <w:rPr>
          <w:rFonts w:asciiTheme="minorHAnsi" w:hAnsiTheme="minorHAnsi" w:cstheme="minorHAnsi"/>
          <w:color w:val="000000" w:themeColor="text1"/>
          <w:sz w:val="20"/>
          <w:szCs w:val="20"/>
          <w:shd w:val="clear" w:color="auto" w:fill="FFFFFF"/>
          <w:lang w:val="en-US"/>
        </w:rPr>
        <w:t>18 March 2002</w:t>
      </w:r>
      <w:r w:rsidR="00FF0C52">
        <w:rPr>
          <w:rFonts w:asciiTheme="minorHAnsi" w:hAnsiTheme="minorHAnsi" w:cstheme="minorHAnsi"/>
          <w:color w:val="000000" w:themeColor="text1"/>
          <w:sz w:val="20"/>
          <w:szCs w:val="20"/>
          <w:shd w:val="clear" w:color="auto" w:fill="FFFFFF"/>
          <w:lang w:val="en-US"/>
        </w:rPr>
        <w:t xml:space="preserve">. </w:t>
      </w:r>
    </w:p>
    <w:p w14:paraId="2C4E5C71" w14:textId="02B29103" w:rsidR="002C355C" w:rsidRPr="00650689" w:rsidRDefault="002C355C" w:rsidP="002C355C">
      <w:pPr>
        <w:pStyle w:val="Titre1"/>
        <w:rPr>
          <w:lang w:val="en-US"/>
        </w:rPr>
      </w:pPr>
    </w:p>
    <w:p w14:paraId="02F23D18" w14:textId="221E7C64" w:rsidR="00D54D8D" w:rsidRDefault="00D54D8D" w:rsidP="00D54D8D">
      <w:pPr>
        <w:rPr>
          <w:lang w:val="en-US" w:eastAsia="en-US"/>
        </w:rPr>
      </w:pPr>
    </w:p>
    <w:p w14:paraId="0696C46D" w14:textId="3C170FF5" w:rsidR="00D54D8D" w:rsidRPr="00D54D8D" w:rsidRDefault="00D54D8D" w:rsidP="00D54D8D">
      <w:pPr>
        <w:rPr>
          <w:rFonts w:asciiTheme="minorHAnsi" w:hAnsiTheme="minorHAnsi" w:cstheme="minorHAnsi"/>
          <w:lang w:val="en-US" w:eastAsia="en-US"/>
        </w:rPr>
      </w:pPr>
      <w:r w:rsidRPr="00D54D8D">
        <w:rPr>
          <w:rFonts w:asciiTheme="minorHAnsi" w:hAnsiTheme="minorHAnsi" w:cstheme="minorHAnsi"/>
          <w:lang w:val="en-US" w:eastAsia="en-US"/>
        </w:rPr>
        <w:t xml:space="preserve">Sibel Top and Paul De </w:t>
      </w:r>
      <w:proofErr w:type="spellStart"/>
      <w:r w:rsidRPr="00D54D8D">
        <w:rPr>
          <w:rFonts w:asciiTheme="minorHAnsi" w:hAnsiTheme="minorHAnsi" w:cstheme="minorHAnsi"/>
          <w:lang w:val="en-US" w:eastAsia="en-US"/>
        </w:rPr>
        <w:t>Hert</w:t>
      </w:r>
      <w:proofErr w:type="spellEnd"/>
      <w:r w:rsidRPr="00D54D8D">
        <w:rPr>
          <w:rFonts w:asciiTheme="minorHAnsi" w:hAnsiTheme="minorHAnsi" w:cstheme="minorHAnsi"/>
          <w:lang w:val="en-US" w:eastAsia="en-US"/>
        </w:rPr>
        <w:t>*</w:t>
      </w:r>
    </w:p>
    <w:p w14:paraId="62529369" w14:textId="74E86E88" w:rsidR="00665E9E" w:rsidRDefault="00665E9E" w:rsidP="00665E9E">
      <w:pPr>
        <w:rPr>
          <w:lang w:val="en-US" w:eastAsia="en-US"/>
        </w:rPr>
      </w:pPr>
    </w:p>
    <w:p w14:paraId="13E54CC0" w14:textId="2A8EB759" w:rsidR="00606EB9" w:rsidRPr="00665E9E" w:rsidRDefault="00606EB9" w:rsidP="00665E9E">
      <w:pPr>
        <w:rPr>
          <w:lang w:val="en-US" w:eastAsia="en-US"/>
        </w:rPr>
      </w:pPr>
    </w:p>
    <w:p w14:paraId="793A0979" w14:textId="254FFAA2" w:rsidR="00727F0B" w:rsidRPr="00533D7F" w:rsidRDefault="00727F0B" w:rsidP="00727F0B">
      <w:pPr>
        <w:pStyle w:val="Titre2"/>
        <w:numPr>
          <w:ilvl w:val="0"/>
          <w:numId w:val="1"/>
        </w:numPr>
        <w:rPr>
          <w:rFonts w:asciiTheme="minorHAnsi" w:hAnsiTheme="minorHAnsi" w:cstheme="minorHAnsi"/>
          <w:lang w:val="en-US"/>
        </w:rPr>
      </w:pPr>
      <w:r w:rsidRPr="00533D7F">
        <w:rPr>
          <w:rFonts w:asciiTheme="minorHAnsi" w:hAnsiTheme="minorHAnsi" w:cstheme="minorHAnsi"/>
          <w:lang w:val="en-US"/>
        </w:rPr>
        <w:t>Introduction</w:t>
      </w:r>
      <w:r w:rsidR="00606EB9">
        <w:rPr>
          <w:rFonts w:asciiTheme="minorHAnsi" w:hAnsiTheme="minorHAnsi" w:cstheme="minorHAnsi"/>
          <w:lang w:val="en-US"/>
        </w:rPr>
        <w:t>: silence in human rights law about cooperation</w:t>
      </w:r>
      <w:r w:rsidR="00583E5A">
        <w:rPr>
          <w:rFonts w:asciiTheme="minorHAnsi" w:hAnsiTheme="minorHAnsi" w:cstheme="minorHAnsi"/>
          <w:lang w:val="en-US"/>
        </w:rPr>
        <w:t xml:space="preserve"> in criminal matters</w:t>
      </w:r>
    </w:p>
    <w:p w14:paraId="428A62AA" w14:textId="77777777" w:rsidR="00727F0B" w:rsidRPr="00533D7F" w:rsidRDefault="00727F0B" w:rsidP="007232B2">
      <w:pPr>
        <w:jc w:val="both"/>
        <w:rPr>
          <w:rFonts w:asciiTheme="minorHAnsi" w:hAnsiTheme="minorHAnsi" w:cstheme="minorHAnsi"/>
          <w:lang w:val="en-US"/>
        </w:rPr>
      </w:pPr>
    </w:p>
    <w:p w14:paraId="51F7E966" w14:textId="6EBE48EF" w:rsidR="00FE1782" w:rsidRDefault="007232B2" w:rsidP="007232B2">
      <w:pPr>
        <w:jc w:val="both"/>
        <w:rPr>
          <w:rFonts w:asciiTheme="minorHAnsi" w:hAnsiTheme="minorHAnsi" w:cstheme="minorHAnsi"/>
          <w:lang w:val="en-US"/>
        </w:rPr>
      </w:pPr>
      <w:r w:rsidRPr="00533D7F">
        <w:rPr>
          <w:rFonts w:asciiTheme="minorHAnsi" w:hAnsiTheme="minorHAnsi" w:cstheme="minorHAnsi"/>
          <w:lang w:val="en-US"/>
        </w:rPr>
        <w:t>This piece is about the balanc</w:t>
      </w:r>
      <w:r w:rsidR="004459BD" w:rsidRPr="00533D7F">
        <w:rPr>
          <w:rFonts w:asciiTheme="minorHAnsi" w:hAnsiTheme="minorHAnsi" w:cstheme="minorHAnsi"/>
          <w:lang w:val="en-US"/>
        </w:rPr>
        <w:t>e</w:t>
      </w:r>
      <w:r w:rsidRPr="00533D7F">
        <w:rPr>
          <w:rFonts w:asciiTheme="minorHAnsi" w:hAnsiTheme="minorHAnsi" w:cstheme="minorHAnsi"/>
          <w:lang w:val="en-US"/>
        </w:rPr>
        <w:t xml:space="preserve"> </w:t>
      </w:r>
      <w:r w:rsidR="004459BD" w:rsidRPr="00533D7F">
        <w:rPr>
          <w:rFonts w:asciiTheme="minorHAnsi" w:hAnsiTheme="minorHAnsi" w:cstheme="minorHAnsi"/>
          <w:lang w:val="en-US"/>
        </w:rPr>
        <w:t>between</w:t>
      </w:r>
      <w:r w:rsidRPr="00533D7F">
        <w:rPr>
          <w:rFonts w:asciiTheme="minorHAnsi" w:hAnsiTheme="minorHAnsi" w:cstheme="minorHAnsi"/>
          <w:lang w:val="en-US"/>
        </w:rPr>
        <w:t xml:space="preserve"> human rights and cooperation in criminal matters. It is about the fact that</w:t>
      </w:r>
      <w:r w:rsidR="00896A8D" w:rsidRPr="00533D7F">
        <w:rPr>
          <w:rFonts w:asciiTheme="minorHAnsi" w:hAnsiTheme="minorHAnsi" w:cstheme="minorHAnsi"/>
          <w:lang w:val="en-US"/>
        </w:rPr>
        <w:t xml:space="preserve"> </w:t>
      </w:r>
      <w:r w:rsidRPr="00533D7F">
        <w:rPr>
          <w:rFonts w:asciiTheme="minorHAnsi" w:hAnsiTheme="minorHAnsi" w:cstheme="minorHAnsi"/>
          <w:lang w:val="en-US"/>
        </w:rPr>
        <w:t>the European Convention on Human Rights</w:t>
      </w:r>
      <w:r w:rsidR="00CA47E6" w:rsidRPr="00533D7F">
        <w:rPr>
          <w:rFonts w:asciiTheme="minorHAnsi" w:hAnsiTheme="minorHAnsi" w:cstheme="minorHAnsi"/>
          <w:lang w:val="en-US"/>
        </w:rPr>
        <w:t xml:space="preserve"> (ECHR)</w:t>
      </w:r>
      <w:r w:rsidR="00032523">
        <w:rPr>
          <w:rStyle w:val="Appelnotedebasdep"/>
          <w:rFonts w:asciiTheme="minorHAnsi" w:hAnsiTheme="minorHAnsi" w:cstheme="minorHAnsi"/>
          <w:lang w:val="en-US"/>
        </w:rPr>
        <w:footnoteReference w:id="2"/>
      </w:r>
      <w:r w:rsidRPr="00533D7F">
        <w:rPr>
          <w:rFonts w:asciiTheme="minorHAnsi" w:hAnsiTheme="minorHAnsi" w:cstheme="minorHAnsi"/>
          <w:lang w:val="en-US"/>
        </w:rPr>
        <w:t xml:space="preserve"> remain</w:t>
      </w:r>
      <w:r w:rsidR="009C6D82" w:rsidRPr="00533D7F">
        <w:rPr>
          <w:rFonts w:asciiTheme="minorHAnsi" w:hAnsiTheme="minorHAnsi" w:cstheme="minorHAnsi"/>
          <w:lang w:val="en-US"/>
        </w:rPr>
        <w:t xml:space="preserve"> mostly</w:t>
      </w:r>
      <w:r w:rsidRPr="00533D7F">
        <w:rPr>
          <w:rFonts w:asciiTheme="minorHAnsi" w:hAnsiTheme="minorHAnsi" w:cstheme="minorHAnsi"/>
          <w:lang w:val="en-US"/>
        </w:rPr>
        <w:t xml:space="preserve"> silent on the issue of the human rights of extradited persons. It is </w:t>
      </w:r>
      <w:r w:rsidR="00665DCC" w:rsidRPr="00533D7F">
        <w:rPr>
          <w:rFonts w:asciiTheme="minorHAnsi" w:hAnsiTheme="minorHAnsi" w:cstheme="minorHAnsi"/>
          <w:lang w:val="en-US"/>
        </w:rPr>
        <w:t xml:space="preserve">also </w:t>
      </w:r>
      <w:r w:rsidRPr="00533D7F">
        <w:rPr>
          <w:rFonts w:asciiTheme="minorHAnsi" w:hAnsiTheme="minorHAnsi" w:cstheme="minorHAnsi"/>
          <w:lang w:val="en-US"/>
        </w:rPr>
        <w:t>about how</w:t>
      </w:r>
      <w:r w:rsidR="00380C87">
        <w:rPr>
          <w:rFonts w:asciiTheme="minorHAnsi" w:hAnsiTheme="minorHAnsi" w:cstheme="minorHAnsi"/>
          <w:lang w:val="en-US"/>
        </w:rPr>
        <w:t xml:space="preserve"> the</w:t>
      </w:r>
      <w:r w:rsidRPr="00533D7F">
        <w:rPr>
          <w:rFonts w:asciiTheme="minorHAnsi" w:hAnsiTheme="minorHAnsi" w:cstheme="minorHAnsi"/>
          <w:lang w:val="en-US"/>
        </w:rPr>
        <w:t xml:space="preserve"> </w:t>
      </w:r>
      <w:proofErr w:type="spellStart"/>
      <w:r w:rsidR="00721DE8" w:rsidRPr="00533D7F">
        <w:rPr>
          <w:rStyle w:val="Accentuation"/>
          <w:rFonts w:asciiTheme="minorHAnsi" w:hAnsiTheme="minorHAnsi" w:cstheme="minorHAnsi"/>
          <w:color w:val="000000" w:themeColor="text1"/>
          <w:lang w:val="en-US"/>
        </w:rPr>
        <w:t>Soering</w:t>
      </w:r>
      <w:proofErr w:type="spellEnd"/>
      <w:r w:rsidR="002E4869">
        <w:rPr>
          <w:rStyle w:val="Appelnotedebasdep"/>
          <w:rFonts w:asciiTheme="minorHAnsi" w:hAnsiTheme="minorHAnsi" w:cstheme="minorHAnsi"/>
          <w:i/>
          <w:iCs/>
          <w:color w:val="000000" w:themeColor="text1"/>
          <w:lang w:val="en-US"/>
        </w:rPr>
        <w:footnoteReference w:id="3"/>
      </w:r>
      <w:r w:rsidR="00380C87">
        <w:rPr>
          <w:rStyle w:val="Accentuation"/>
          <w:rFonts w:asciiTheme="minorHAnsi" w:hAnsiTheme="minorHAnsi" w:cstheme="minorHAnsi"/>
          <w:color w:val="000000" w:themeColor="text1"/>
          <w:lang w:val="en-US"/>
        </w:rPr>
        <w:t xml:space="preserve"> </w:t>
      </w:r>
      <w:r w:rsidR="00380C87">
        <w:rPr>
          <w:rStyle w:val="Accentuation"/>
          <w:rFonts w:asciiTheme="minorHAnsi" w:hAnsiTheme="minorHAnsi" w:cstheme="minorHAnsi"/>
          <w:i w:val="0"/>
          <w:iCs w:val="0"/>
          <w:color w:val="000000" w:themeColor="text1"/>
          <w:lang w:val="en-US"/>
        </w:rPr>
        <w:t>case</w:t>
      </w:r>
      <w:r w:rsidR="00074240">
        <w:rPr>
          <w:rStyle w:val="Accentuation"/>
          <w:rFonts w:asciiTheme="minorHAnsi" w:hAnsiTheme="minorHAnsi" w:cstheme="minorHAnsi"/>
          <w:i w:val="0"/>
          <w:iCs w:val="0"/>
          <w:color w:val="000000" w:themeColor="text1"/>
          <w:lang w:val="en-US"/>
        </w:rPr>
        <w:t xml:space="preserve"> </w:t>
      </w:r>
      <w:r w:rsidRPr="00533D7F">
        <w:rPr>
          <w:rFonts w:asciiTheme="minorHAnsi" w:hAnsiTheme="minorHAnsi" w:cstheme="minorHAnsi"/>
          <w:lang w:val="en-US"/>
        </w:rPr>
        <w:t>introduced safeguards</w:t>
      </w:r>
      <w:r w:rsidR="00447CB5">
        <w:rPr>
          <w:rFonts w:asciiTheme="minorHAnsi" w:hAnsiTheme="minorHAnsi" w:cstheme="minorHAnsi"/>
          <w:lang w:val="en-US"/>
        </w:rPr>
        <w:t xml:space="preserve"> for </w:t>
      </w:r>
      <w:r w:rsidRPr="00533D7F">
        <w:rPr>
          <w:rFonts w:asciiTheme="minorHAnsi" w:hAnsiTheme="minorHAnsi" w:cstheme="minorHAnsi"/>
          <w:lang w:val="en-US"/>
        </w:rPr>
        <w:t>human rights in extradition proceedings</w:t>
      </w:r>
      <w:r w:rsidR="00EC72DD" w:rsidRPr="00533D7F">
        <w:rPr>
          <w:rFonts w:asciiTheme="minorHAnsi" w:hAnsiTheme="minorHAnsi" w:cstheme="minorHAnsi"/>
          <w:lang w:val="en-US"/>
        </w:rPr>
        <w:t xml:space="preserve"> that were absent from th</w:t>
      </w:r>
      <w:r w:rsidR="00927617" w:rsidRPr="00533D7F">
        <w:rPr>
          <w:rFonts w:asciiTheme="minorHAnsi" w:hAnsiTheme="minorHAnsi" w:cstheme="minorHAnsi"/>
          <w:lang w:val="en-US"/>
        </w:rPr>
        <w:t>e Convention</w:t>
      </w:r>
      <w:r w:rsidR="00EC72DD" w:rsidRPr="00533D7F">
        <w:rPr>
          <w:rFonts w:asciiTheme="minorHAnsi" w:hAnsiTheme="minorHAnsi" w:cstheme="minorHAnsi"/>
          <w:lang w:val="en-US"/>
        </w:rPr>
        <w:t>.</w:t>
      </w:r>
      <w:r w:rsidR="00B94CAE">
        <w:rPr>
          <w:rFonts w:asciiTheme="minorHAnsi" w:hAnsiTheme="minorHAnsi" w:cstheme="minorHAnsi"/>
          <w:lang w:val="en-US"/>
        </w:rPr>
        <w:t xml:space="preserve"> </w:t>
      </w:r>
      <w:r w:rsidR="000F7583">
        <w:rPr>
          <w:rFonts w:asciiTheme="minorHAnsi" w:hAnsiTheme="minorHAnsi" w:cstheme="minorHAnsi"/>
          <w:lang w:val="en-US"/>
        </w:rPr>
        <w:t>I</w:t>
      </w:r>
      <w:r w:rsidR="00EC72DD" w:rsidRPr="00533D7F">
        <w:rPr>
          <w:rFonts w:asciiTheme="minorHAnsi" w:hAnsiTheme="minorHAnsi" w:cstheme="minorHAnsi"/>
          <w:lang w:val="en-US"/>
        </w:rPr>
        <w:t xml:space="preserve">t is about how </w:t>
      </w:r>
      <w:r w:rsidR="00F37B88">
        <w:rPr>
          <w:rFonts w:asciiTheme="minorHAnsi" w:hAnsiTheme="minorHAnsi" w:cstheme="minorHAnsi"/>
          <w:lang w:val="en-US"/>
        </w:rPr>
        <w:t xml:space="preserve">the </w:t>
      </w:r>
      <w:r w:rsidR="00F37B88" w:rsidRPr="00533D7F">
        <w:rPr>
          <w:rFonts w:asciiTheme="minorHAnsi" w:hAnsiTheme="minorHAnsi" w:cstheme="minorHAnsi"/>
          <w:lang w:val="en-US"/>
        </w:rPr>
        <w:t xml:space="preserve">European Court of Human Rights (ECtHR) </w:t>
      </w:r>
      <w:r w:rsidR="00F37B88">
        <w:rPr>
          <w:rFonts w:asciiTheme="minorHAnsi" w:hAnsiTheme="minorHAnsi" w:cstheme="minorHAnsi"/>
          <w:lang w:val="en-US"/>
        </w:rPr>
        <w:t xml:space="preserve">later </w:t>
      </w:r>
      <w:r w:rsidR="00447CB5">
        <w:rPr>
          <w:rFonts w:asciiTheme="minorHAnsi" w:hAnsiTheme="minorHAnsi" w:cstheme="minorHAnsi"/>
          <w:lang w:val="en-US"/>
        </w:rPr>
        <w:t>appeared</w:t>
      </w:r>
      <w:r w:rsidR="00B94CAE">
        <w:rPr>
          <w:rFonts w:asciiTheme="minorHAnsi" w:hAnsiTheme="minorHAnsi" w:cstheme="minorHAnsi"/>
          <w:lang w:val="en-US"/>
        </w:rPr>
        <w:t xml:space="preserve"> to have change</w:t>
      </w:r>
      <w:r w:rsidR="00650689">
        <w:rPr>
          <w:rFonts w:asciiTheme="minorHAnsi" w:hAnsiTheme="minorHAnsi" w:cstheme="minorHAnsi"/>
          <w:lang w:val="en-US"/>
        </w:rPr>
        <w:t>d</w:t>
      </w:r>
      <w:r w:rsidR="00B94CAE">
        <w:rPr>
          <w:rFonts w:asciiTheme="minorHAnsi" w:hAnsiTheme="minorHAnsi" w:cstheme="minorHAnsi"/>
          <w:lang w:val="en-US"/>
        </w:rPr>
        <w:t xml:space="preserve"> its policy priorities </w:t>
      </w:r>
      <w:r w:rsidR="00F37B88">
        <w:rPr>
          <w:rFonts w:asciiTheme="minorHAnsi" w:hAnsiTheme="minorHAnsi" w:cstheme="minorHAnsi"/>
          <w:lang w:val="en-US"/>
        </w:rPr>
        <w:t xml:space="preserve">in the </w:t>
      </w:r>
      <w:proofErr w:type="spellStart"/>
      <w:r w:rsidR="00157091" w:rsidRPr="00533D7F">
        <w:rPr>
          <w:rFonts w:asciiTheme="minorHAnsi" w:hAnsiTheme="minorHAnsi" w:cstheme="minorHAnsi"/>
          <w:i/>
          <w:iCs/>
          <w:lang w:val="en-US"/>
        </w:rPr>
        <w:t>G</w:t>
      </w:r>
      <w:r w:rsidR="00083404" w:rsidRPr="00533D7F">
        <w:rPr>
          <w:rFonts w:asciiTheme="minorHAnsi" w:hAnsiTheme="minorHAnsi" w:cstheme="minorHAnsi"/>
          <w:i/>
          <w:iCs/>
          <w:lang w:val="en-US"/>
        </w:rPr>
        <w:t>üzelyurtlu</w:t>
      </w:r>
      <w:proofErr w:type="spellEnd"/>
      <w:r w:rsidR="00A96448">
        <w:rPr>
          <w:rStyle w:val="Appelnotedebasdep"/>
          <w:rFonts w:asciiTheme="minorHAnsi" w:hAnsiTheme="minorHAnsi" w:cstheme="minorHAnsi"/>
          <w:i/>
          <w:iCs/>
          <w:lang w:val="en-US"/>
        </w:rPr>
        <w:footnoteReference w:id="4"/>
      </w:r>
      <w:r w:rsidRPr="00533D7F">
        <w:rPr>
          <w:rFonts w:asciiTheme="minorHAnsi" w:hAnsiTheme="minorHAnsi" w:cstheme="minorHAnsi"/>
          <w:lang w:val="en-US"/>
        </w:rPr>
        <w:t xml:space="preserve"> and </w:t>
      </w:r>
      <w:proofErr w:type="spellStart"/>
      <w:r w:rsidR="00157091" w:rsidRPr="00533D7F">
        <w:rPr>
          <w:rFonts w:asciiTheme="minorHAnsi" w:hAnsiTheme="minorHAnsi" w:cstheme="minorHAnsi"/>
          <w:i/>
          <w:iCs/>
          <w:lang w:val="en-US"/>
        </w:rPr>
        <w:t>Castaño</w:t>
      </w:r>
      <w:proofErr w:type="spellEnd"/>
      <w:r w:rsidR="00A96448">
        <w:rPr>
          <w:rStyle w:val="Appelnotedebasdep"/>
          <w:rFonts w:asciiTheme="minorHAnsi" w:hAnsiTheme="minorHAnsi" w:cstheme="minorHAnsi"/>
          <w:i/>
          <w:iCs/>
          <w:lang w:val="en-US"/>
        </w:rPr>
        <w:footnoteReference w:id="5"/>
      </w:r>
      <w:r w:rsidR="006B7F32">
        <w:rPr>
          <w:rFonts w:asciiTheme="minorHAnsi" w:hAnsiTheme="minorHAnsi" w:cstheme="minorHAnsi"/>
          <w:lang w:val="en-US"/>
        </w:rPr>
        <w:t xml:space="preserve"> </w:t>
      </w:r>
      <w:r w:rsidR="006E6692">
        <w:rPr>
          <w:rFonts w:asciiTheme="minorHAnsi" w:hAnsiTheme="minorHAnsi" w:cstheme="minorHAnsi"/>
          <w:lang w:val="en-US"/>
        </w:rPr>
        <w:t>rulings</w:t>
      </w:r>
      <w:r w:rsidR="00E12A11">
        <w:rPr>
          <w:rFonts w:asciiTheme="minorHAnsi" w:hAnsiTheme="minorHAnsi" w:cstheme="minorHAnsi"/>
          <w:lang w:val="en-US"/>
        </w:rPr>
        <w:t xml:space="preserve">, </w:t>
      </w:r>
      <w:r w:rsidR="00FD4CF6">
        <w:rPr>
          <w:rFonts w:asciiTheme="minorHAnsi" w:hAnsiTheme="minorHAnsi" w:cstheme="minorHAnsi"/>
          <w:lang w:val="en-US"/>
        </w:rPr>
        <w:t>and how this</w:t>
      </w:r>
      <w:r w:rsidR="00E12A11">
        <w:rPr>
          <w:rFonts w:asciiTheme="minorHAnsi" w:hAnsiTheme="minorHAnsi" w:cstheme="minorHAnsi"/>
          <w:lang w:val="en-US"/>
        </w:rPr>
        <w:t xml:space="preserve"> brought it closer to the position of the Court of Justice of the European Union (CJEU)</w:t>
      </w:r>
      <w:r w:rsidR="00FD4CF6">
        <w:rPr>
          <w:rFonts w:asciiTheme="minorHAnsi" w:hAnsiTheme="minorHAnsi" w:cstheme="minorHAnsi"/>
          <w:lang w:val="en-US"/>
        </w:rPr>
        <w:t xml:space="preserve"> </w:t>
      </w:r>
      <w:r w:rsidR="00D2075A">
        <w:rPr>
          <w:rFonts w:asciiTheme="minorHAnsi" w:hAnsiTheme="minorHAnsi" w:cstheme="minorHAnsi"/>
          <w:lang w:val="en-US"/>
        </w:rPr>
        <w:t>concerning</w:t>
      </w:r>
      <w:r w:rsidR="00FD4CF6">
        <w:rPr>
          <w:rFonts w:asciiTheme="minorHAnsi" w:hAnsiTheme="minorHAnsi" w:cstheme="minorHAnsi"/>
          <w:lang w:val="en-US"/>
        </w:rPr>
        <w:t xml:space="preserve"> human rights </w:t>
      </w:r>
      <w:r w:rsidR="008F034B">
        <w:rPr>
          <w:rFonts w:asciiTheme="minorHAnsi" w:hAnsiTheme="minorHAnsi" w:cstheme="minorHAnsi"/>
          <w:lang w:val="en-US"/>
        </w:rPr>
        <w:t>filters</w:t>
      </w:r>
      <w:r w:rsidR="00FD4CF6">
        <w:rPr>
          <w:rFonts w:asciiTheme="minorHAnsi" w:hAnsiTheme="minorHAnsi" w:cstheme="minorHAnsi"/>
          <w:lang w:val="en-US"/>
        </w:rPr>
        <w:t xml:space="preserve"> to extradition</w:t>
      </w:r>
      <w:r w:rsidRPr="00533D7F">
        <w:rPr>
          <w:rFonts w:asciiTheme="minorHAnsi" w:hAnsiTheme="minorHAnsi" w:cstheme="minorHAnsi"/>
          <w:lang w:val="en-US"/>
        </w:rPr>
        <w:t xml:space="preserve">. </w:t>
      </w:r>
      <w:r w:rsidR="00590AF7">
        <w:rPr>
          <w:rFonts w:asciiTheme="minorHAnsi" w:hAnsiTheme="minorHAnsi" w:cstheme="minorHAnsi"/>
          <w:lang w:val="en-US"/>
        </w:rPr>
        <w:t>In short, this</w:t>
      </w:r>
      <w:r w:rsidR="00EC72DD" w:rsidRPr="00533D7F">
        <w:rPr>
          <w:rFonts w:asciiTheme="minorHAnsi" w:hAnsiTheme="minorHAnsi" w:cstheme="minorHAnsi"/>
          <w:lang w:val="en-US"/>
        </w:rPr>
        <w:t xml:space="preserve"> piece is about </w:t>
      </w:r>
      <w:r w:rsidR="00381B30" w:rsidRPr="00533D7F">
        <w:rPr>
          <w:rFonts w:asciiTheme="minorHAnsi" w:hAnsiTheme="minorHAnsi" w:cstheme="minorHAnsi"/>
          <w:lang w:val="en-US"/>
        </w:rPr>
        <w:t>the</w:t>
      </w:r>
      <w:r w:rsidR="00B94CAE">
        <w:rPr>
          <w:rFonts w:asciiTheme="minorHAnsi" w:hAnsiTheme="minorHAnsi" w:cstheme="minorHAnsi"/>
          <w:lang w:val="en-US"/>
        </w:rPr>
        <w:t xml:space="preserve"> priorities of the Court between human rights protection and easing judicial cooperation among states, and in particular about the</w:t>
      </w:r>
      <w:r w:rsidR="00381B30" w:rsidRPr="00533D7F">
        <w:rPr>
          <w:rFonts w:asciiTheme="minorHAnsi" w:hAnsiTheme="minorHAnsi" w:cstheme="minorHAnsi"/>
          <w:lang w:val="en-US"/>
        </w:rPr>
        <w:t xml:space="preserve"> dangers of </w:t>
      </w:r>
      <w:proofErr w:type="spellStart"/>
      <w:r w:rsidR="00381B30" w:rsidRPr="00533D7F">
        <w:rPr>
          <w:rFonts w:asciiTheme="minorHAnsi" w:hAnsiTheme="minorHAnsi" w:cstheme="minorHAnsi"/>
          <w:lang w:val="en-US"/>
        </w:rPr>
        <w:t>automati</w:t>
      </w:r>
      <w:r w:rsidR="007C2534" w:rsidRPr="00533D7F">
        <w:rPr>
          <w:rFonts w:asciiTheme="minorHAnsi" w:hAnsiTheme="minorHAnsi" w:cstheme="minorHAnsi"/>
          <w:lang w:val="en-US"/>
        </w:rPr>
        <w:t>s</w:t>
      </w:r>
      <w:r w:rsidR="00381B30" w:rsidRPr="00533D7F">
        <w:rPr>
          <w:rFonts w:asciiTheme="minorHAnsi" w:hAnsiTheme="minorHAnsi" w:cstheme="minorHAnsi"/>
          <w:lang w:val="en-US"/>
        </w:rPr>
        <w:t>ing</w:t>
      </w:r>
      <w:proofErr w:type="spellEnd"/>
      <w:r w:rsidR="00381B30" w:rsidRPr="00533D7F">
        <w:rPr>
          <w:rFonts w:asciiTheme="minorHAnsi" w:hAnsiTheme="minorHAnsi" w:cstheme="minorHAnsi"/>
          <w:lang w:val="en-US"/>
        </w:rPr>
        <w:t xml:space="preserve"> extraditions </w:t>
      </w:r>
      <w:r w:rsidR="00A36154" w:rsidRPr="00533D7F">
        <w:rPr>
          <w:rFonts w:asciiTheme="minorHAnsi" w:hAnsiTheme="minorHAnsi" w:cstheme="minorHAnsi"/>
          <w:lang w:val="en-US"/>
        </w:rPr>
        <w:t>in the name of human rights</w:t>
      </w:r>
      <w:r w:rsidR="00A82838" w:rsidRPr="00533D7F">
        <w:rPr>
          <w:rFonts w:asciiTheme="minorHAnsi" w:hAnsiTheme="minorHAnsi" w:cstheme="minorHAnsi"/>
          <w:lang w:val="en-US"/>
        </w:rPr>
        <w:t xml:space="preserve"> protection.</w:t>
      </w:r>
    </w:p>
    <w:p w14:paraId="6B18A766" w14:textId="6A3A6939" w:rsidR="00F475F4" w:rsidRPr="00533D7F" w:rsidRDefault="00F475F4" w:rsidP="007232B2">
      <w:pPr>
        <w:jc w:val="both"/>
        <w:rPr>
          <w:rFonts w:asciiTheme="minorHAnsi" w:hAnsiTheme="minorHAnsi" w:cstheme="minorHAnsi"/>
          <w:lang w:val="en-US"/>
        </w:rPr>
      </w:pPr>
    </w:p>
    <w:p w14:paraId="5EA7E520" w14:textId="285F14A8" w:rsidR="00727F0B" w:rsidRPr="00533D7F" w:rsidRDefault="00F92646" w:rsidP="0058179A">
      <w:pPr>
        <w:jc w:val="both"/>
        <w:rPr>
          <w:rFonts w:asciiTheme="minorHAnsi" w:hAnsiTheme="minorHAnsi" w:cstheme="minorHAnsi"/>
          <w:lang w:val="en-US"/>
        </w:rPr>
      </w:pPr>
      <w:r>
        <w:rPr>
          <w:rFonts w:asciiTheme="minorHAnsi" w:hAnsiTheme="minorHAnsi" w:cstheme="minorHAnsi"/>
          <w:lang w:val="en-US"/>
        </w:rPr>
        <w:t>The</w:t>
      </w:r>
      <w:r w:rsidR="00814924" w:rsidRPr="00533D7F">
        <w:rPr>
          <w:rFonts w:asciiTheme="minorHAnsi" w:hAnsiTheme="minorHAnsi" w:cstheme="minorHAnsi"/>
          <w:lang w:val="en-US"/>
        </w:rPr>
        <w:t xml:space="preserve"> first section will address the question of </w:t>
      </w:r>
      <w:r w:rsidR="009C156B" w:rsidRPr="00533D7F">
        <w:rPr>
          <w:rFonts w:asciiTheme="minorHAnsi" w:hAnsiTheme="minorHAnsi" w:cstheme="minorHAnsi"/>
          <w:lang w:val="en-US"/>
        </w:rPr>
        <w:t xml:space="preserve">whether and </w:t>
      </w:r>
      <w:r w:rsidR="00814924" w:rsidRPr="00533D7F">
        <w:rPr>
          <w:rFonts w:asciiTheme="minorHAnsi" w:hAnsiTheme="minorHAnsi" w:cstheme="minorHAnsi"/>
          <w:lang w:val="en-US"/>
        </w:rPr>
        <w:t xml:space="preserve">how the human rights of extradited persons </w:t>
      </w:r>
      <w:r w:rsidR="00280E58" w:rsidRPr="00533D7F">
        <w:rPr>
          <w:rFonts w:asciiTheme="minorHAnsi" w:hAnsiTheme="minorHAnsi" w:cstheme="minorHAnsi"/>
          <w:lang w:val="en-US"/>
        </w:rPr>
        <w:t>are</w:t>
      </w:r>
      <w:r w:rsidR="00814924" w:rsidRPr="00533D7F">
        <w:rPr>
          <w:rFonts w:asciiTheme="minorHAnsi" w:hAnsiTheme="minorHAnsi" w:cstheme="minorHAnsi"/>
          <w:lang w:val="en-US"/>
        </w:rPr>
        <w:t xml:space="preserve"> protected by the European Convention on </w:t>
      </w:r>
      <w:r w:rsidR="005A0984">
        <w:rPr>
          <w:rFonts w:asciiTheme="minorHAnsi" w:hAnsiTheme="minorHAnsi" w:cstheme="minorHAnsi"/>
          <w:lang w:val="en-US"/>
        </w:rPr>
        <w:t xml:space="preserve">Human Rights </w:t>
      </w:r>
      <w:r w:rsidR="008008C8" w:rsidRPr="00533D7F">
        <w:rPr>
          <w:rFonts w:asciiTheme="minorHAnsi" w:hAnsiTheme="minorHAnsi" w:cstheme="minorHAnsi"/>
          <w:lang w:val="en-US"/>
        </w:rPr>
        <w:t>(</w:t>
      </w:r>
      <w:r w:rsidR="00447CB5">
        <w:rPr>
          <w:rFonts w:asciiTheme="minorHAnsi" w:hAnsiTheme="minorHAnsi" w:cstheme="minorHAnsi"/>
          <w:lang w:val="en-US"/>
        </w:rPr>
        <w:t>S</w:t>
      </w:r>
      <w:r w:rsidR="008008C8" w:rsidRPr="00533D7F">
        <w:rPr>
          <w:rFonts w:asciiTheme="minorHAnsi" w:hAnsiTheme="minorHAnsi" w:cstheme="minorHAnsi"/>
          <w:lang w:val="en-US"/>
        </w:rPr>
        <w:t>ection 2)</w:t>
      </w:r>
      <w:r w:rsidR="00814924" w:rsidRPr="00533D7F">
        <w:rPr>
          <w:rFonts w:asciiTheme="minorHAnsi" w:hAnsiTheme="minorHAnsi" w:cstheme="minorHAnsi"/>
          <w:lang w:val="en-US"/>
        </w:rPr>
        <w:t>.</w:t>
      </w:r>
      <w:r w:rsidR="00CA47E6" w:rsidRPr="00533D7F">
        <w:rPr>
          <w:rFonts w:asciiTheme="minorHAnsi" w:hAnsiTheme="minorHAnsi" w:cstheme="minorHAnsi"/>
          <w:lang w:val="en-US"/>
        </w:rPr>
        <w:t xml:space="preserve"> </w:t>
      </w:r>
      <w:r w:rsidR="007A3068" w:rsidRPr="00533D7F">
        <w:rPr>
          <w:rFonts w:asciiTheme="minorHAnsi" w:hAnsiTheme="minorHAnsi" w:cstheme="minorHAnsi"/>
          <w:lang w:val="en-US"/>
        </w:rPr>
        <w:t>The</w:t>
      </w:r>
      <w:r w:rsidR="00814924" w:rsidRPr="00533D7F">
        <w:rPr>
          <w:rFonts w:asciiTheme="minorHAnsi" w:hAnsiTheme="minorHAnsi" w:cstheme="minorHAnsi"/>
          <w:lang w:val="en-US"/>
        </w:rPr>
        <w:t xml:space="preserve"> </w:t>
      </w:r>
      <w:r w:rsidR="00B0445B" w:rsidRPr="00533D7F">
        <w:rPr>
          <w:rFonts w:asciiTheme="minorHAnsi" w:hAnsiTheme="minorHAnsi" w:cstheme="minorHAnsi"/>
          <w:lang w:val="en-US"/>
        </w:rPr>
        <w:t>next</w:t>
      </w:r>
      <w:r w:rsidR="00814924" w:rsidRPr="00533D7F">
        <w:rPr>
          <w:rFonts w:asciiTheme="minorHAnsi" w:hAnsiTheme="minorHAnsi" w:cstheme="minorHAnsi"/>
          <w:lang w:val="en-US"/>
        </w:rPr>
        <w:t xml:space="preserve"> section will then turn to</w:t>
      </w:r>
      <w:r w:rsidR="00A67301">
        <w:rPr>
          <w:rFonts w:asciiTheme="minorHAnsi" w:hAnsiTheme="minorHAnsi" w:cstheme="minorHAnsi"/>
          <w:lang w:val="en-US"/>
        </w:rPr>
        <w:t xml:space="preserve"> how, with the</w:t>
      </w:r>
      <w:r w:rsidR="00814924" w:rsidRPr="00533D7F">
        <w:rPr>
          <w:rFonts w:asciiTheme="minorHAnsi" w:hAnsiTheme="minorHAnsi" w:cstheme="minorHAnsi"/>
          <w:lang w:val="en-US"/>
        </w:rPr>
        <w:t xml:space="preserve"> </w:t>
      </w:r>
      <w:proofErr w:type="spellStart"/>
      <w:r w:rsidR="00721DE8" w:rsidRPr="00533D7F">
        <w:rPr>
          <w:rStyle w:val="Accentuation"/>
          <w:rFonts w:asciiTheme="minorHAnsi" w:hAnsiTheme="minorHAnsi" w:cstheme="minorHAnsi"/>
          <w:color w:val="000000" w:themeColor="text1"/>
          <w:lang w:val="en-US"/>
        </w:rPr>
        <w:t>Soering</w:t>
      </w:r>
      <w:proofErr w:type="spellEnd"/>
      <w:r w:rsidR="00721DE8" w:rsidRPr="00533D7F">
        <w:rPr>
          <w:rStyle w:val="Accentuation"/>
          <w:rFonts w:asciiTheme="minorHAnsi" w:hAnsiTheme="minorHAnsi" w:cstheme="minorHAnsi"/>
          <w:color w:val="000000" w:themeColor="text1"/>
          <w:lang w:val="en-US"/>
        </w:rPr>
        <w:t xml:space="preserve"> </w:t>
      </w:r>
      <w:r w:rsidR="00A67301">
        <w:rPr>
          <w:rStyle w:val="Accentuation"/>
          <w:rFonts w:asciiTheme="minorHAnsi" w:hAnsiTheme="minorHAnsi" w:cstheme="minorHAnsi"/>
          <w:i w:val="0"/>
          <w:iCs w:val="0"/>
          <w:color w:val="000000" w:themeColor="text1"/>
          <w:lang w:val="en-US"/>
        </w:rPr>
        <w:t xml:space="preserve">case, the </w:t>
      </w:r>
      <w:r w:rsidR="00280E58" w:rsidRPr="00533D7F">
        <w:rPr>
          <w:rFonts w:asciiTheme="minorHAnsi" w:hAnsiTheme="minorHAnsi" w:cstheme="minorHAnsi"/>
          <w:lang w:val="en-US"/>
        </w:rPr>
        <w:t xml:space="preserve">European Court of Human Rights </w:t>
      </w:r>
      <w:r w:rsidR="00CA47E6" w:rsidRPr="00533D7F">
        <w:rPr>
          <w:rFonts w:asciiTheme="minorHAnsi" w:hAnsiTheme="minorHAnsi" w:cstheme="minorHAnsi"/>
          <w:lang w:val="en-US"/>
        </w:rPr>
        <w:t xml:space="preserve">(ECtHR) </w:t>
      </w:r>
      <w:r w:rsidR="00A36154" w:rsidRPr="00533D7F">
        <w:rPr>
          <w:rFonts w:asciiTheme="minorHAnsi" w:hAnsiTheme="minorHAnsi" w:cstheme="minorHAnsi"/>
          <w:lang w:val="en-US"/>
        </w:rPr>
        <w:t>subordinat</w:t>
      </w:r>
      <w:r w:rsidR="00A67301">
        <w:rPr>
          <w:rFonts w:asciiTheme="minorHAnsi" w:hAnsiTheme="minorHAnsi" w:cstheme="minorHAnsi"/>
          <w:lang w:val="en-US"/>
        </w:rPr>
        <w:t>ed</w:t>
      </w:r>
      <w:r w:rsidR="00A36154" w:rsidRPr="00533D7F">
        <w:rPr>
          <w:rFonts w:asciiTheme="minorHAnsi" w:hAnsiTheme="minorHAnsi" w:cstheme="minorHAnsi"/>
          <w:lang w:val="en-US"/>
        </w:rPr>
        <w:t xml:space="preserve"> </w:t>
      </w:r>
      <w:r w:rsidR="00A67301">
        <w:rPr>
          <w:rFonts w:asciiTheme="minorHAnsi" w:hAnsiTheme="minorHAnsi" w:cstheme="minorHAnsi"/>
          <w:lang w:val="en-US"/>
        </w:rPr>
        <w:t>extraditions</w:t>
      </w:r>
      <w:r w:rsidR="00A36154" w:rsidRPr="00533D7F">
        <w:rPr>
          <w:rFonts w:asciiTheme="minorHAnsi" w:hAnsiTheme="minorHAnsi" w:cstheme="minorHAnsi"/>
          <w:lang w:val="en-US"/>
        </w:rPr>
        <w:t xml:space="preserve"> to </w:t>
      </w:r>
      <w:r w:rsidR="009C156B" w:rsidRPr="00533D7F">
        <w:rPr>
          <w:rFonts w:asciiTheme="minorHAnsi" w:hAnsiTheme="minorHAnsi" w:cstheme="minorHAnsi"/>
          <w:lang w:val="en-US"/>
        </w:rPr>
        <w:t xml:space="preserve">human rights </w:t>
      </w:r>
      <w:r w:rsidR="00BD55FE" w:rsidRPr="00533D7F">
        <w:rPr>
          <w:rFonts w:asciiTheme="minorHAnsi" w:hAnsiTheme="minorHAnsi" w:cstheme="minorHAnsi"/>
          <w:lang w:val="en-US"/>
        </w:rPr>
        <w:t>concerns</w:t>
      </w:r>
      <w:r w:rsidR="008008C8" w:rsidRPr="00533D7F">
        <w:rPr>
          <w:rFonts w:asciiTheme="minorHAnsi" w:hAnsiTheme="minorHAnsi" w:cstheme="minorHAnsi"/>
          <w:lang w:val="en-US"/>
        </w:rPr>
        <w:t xml:space="preserve"> (</w:t>
      </w:r>
      <w:r w:rsidR="00447CB5">
        <w:rPr>
          <w:rFonts w:asciiTheme="minorHAnsi" w:hAnsiTheme="minorHAnsi" w:cstheme="minorHAnsi"/>
          <w:lang w:val="en-US"/>
        </w:rPr>
        <w:t>S</w:t>
      </w:r>
      <w:r w:rsidR="008008C8" w:rsidRPr="00533D7F">
        <w:rPr>
          <w:rFonts w:asciiTheme="minorHAnsi" w:hAnsiTheme="minorHAnsi" w:cstheme="minorHAnsi"/>
          <w:lang w:val="en-US"/>
        </w:rPr>
        <w:t>ection</w:t>
      </w:r>
      <w:r w:rsidR="00BD693D" w:rsidRPr="00533D7F">
        <w:rPr>
          <w:rFonts w:asciiTheme="minorHAnsi" w:hAnsiTheme="minorHAnsi" w:cstheme="minorHAnsi"/>
          <w:lang w:val="en-US"/>
        </w:rPr>
        <w:t> </w:t>
      </w:r>
      <w:r w:rsidR="008008C8" w:rsidRPr="00533D7F">
        <w:rPr>
          <w:rFonts w:asciiTheme="minorHAnsi" w:hAnsiTheme="minorHAnsi" w:cstheme="minorHAnsi"/>
          <w:lang w:val="en-US"/>
        </w:rPr>
        <w:t>3)</w:t>
      </w:r>
      <w:r w:rsidR="00280E58" w:rsidRPr="00533D7F">
        <w:rPr>
          <w:rFonts w:asciiTheme="minorHAnsi" w:hAnsiTheme="minorHAnsi" w:cstheme="minorHAnsi"/>
          <w:lang w:val="en-US"/>
        </w:rPr>
        <w:t xml:space="preserve">. </w:t>
      </w:r>
      <w:r>
        <w:rPr>
          <w:rFonts w:asciiTheme="minorHAnsi" w:hAnsiTheme="minorHAnsi" w:cstheme="minorHAnsi"/>
          <w:lang w:val="en-US"/>
        </w:rPr>
        <w:t>The</w:t>
      </w:r>
      <w:r w:rsidR="00280E58" w:rsidRPr="00533D7F">
        <w:rPr>
          <w:rFonts w:asciiTheme="minorHAnsi" w:hAnsiTheme="minorHAnsi" w:cstheme="minorHAnsi"/>
          <w:lang w:val="en-US"/>
        </w:rPr>
        <w:t xml:space="preserve"> third section will </w:t>
      </w:r>
      <w:r w:rsidR="00280E58" w:rsidRPr="00533D7F">
        <w:rPr>
          <w:rFonts w:asciiTheme="minorHAnsi" w:hAnsiTheme="minorHAnsi" w:cstheme="minorHAnsi"/>
          <w:lang w:val="en-US"/>
        </w:rPr>
        <w:lastRenderedPageBreak/>
        <w:t xml:space="preserve">then </w:t>
      </w:r>
      <w:proofErr w:type="spellStart"/>
      <w:r w:rsidR="00CA47E6" w:rsidRPr="00533D7F">
        <w:rPr>
          <w:rFonts w:asciiTheme="minorHAnsi" w:hAnsiTheme="minorHAnsi" w:cstheme="minorHAnsi"/>
          <w:lang w:val="en-US"/>
        </w:rPr>
        <w:t>scrutinise</w:t>
      </w:r>
      <w:proofErr w:type="spellEnd"/>
      <w:r w:rsidR="00BD55FE" w:rsidRPr="00533D7F">
        <w:rPr>
          <w:rFonts w:asciiTheme="minorHAnsi" w:hAnsiTheme="minorHAnsi" w:cstheme="minorHAnsi"/>
          <w:lang w:val="en-US"/>
        </w:rPr>
        <w:t xml:space="preserve"> </w:t>
      </w:r>
      <w:r w:rsidR="00CA47E6" w:rsidRPr="00533D7F">
        <w:rPr>
          <w:rFonts w:asciiTheme="minorHAnsi" w:hAnsiTheme="minorHAnsi" w:cstheme="minorHAnsi"/>
          <w:lang w:val="en-US"/>
        </w:rPr>
        <w:t xml:space="preserve">the </w:t>
      </w:r>
      <w:proofErr w:type="spellStart"/>
      <w:r w:rsidR="009A0A15" w:rsidRPr="00533D7F">
        <w:rPr>
          <w:rFonts w:asciiTheme="minorHAnsi" w:hAnsiTheme="minorHAnsi" w:cstheme="minorHAnsi"/>
          <w:i/>
          <w:iCs/>
          <w:lang w:val="en-US"/>
        </w:rPr>
        <w:t>Güzelyurtlu</w:t>
      </w:r>
      <w:proofErr w:type="spellEnd"/>
      <w:r w:rsidR="009A0A15" w:rsidRPr="00533D7F">
        <w:rPr>
          <w:rFonts w:asciiTheme="minorHAnsi" w:hAnsiTheme="minorHAnsi" w:cstheme="minorHAnsi"/>
          <w:lang w:val="en-US"/>
        </w:rPr>
        <w:t xml:space="preserve"> </w:t>
      </w:r>
      <w:r w:rsidR="00CA47E6" w:rsidRPr="00533D7F">
        <w:rPr>
          <w:rFonts w:asciiTheme="minorHAnsi" w:hAnsiTheme="minorHAnsi" w:cstheme="minorHAnsi"/>
          <w:lang w:val="en-US"/>
        </w:rPr>
        <w:t xml:space="preserve">and </w:t>
      </w:r>
      <w:r w:rsidR="009A0A15" w:rsidRPr="00F938D8">
        <w:rPr>
          <w:rFonts w:asciiTheme="minorHAnsi" w:hAnsiTheme="minorHAnsi" w:cstheme="minorHAnsi"/>
          <w:i/>
          <w:iCs/>
          <w:lang w:val="en-US"/>
        </w:rPr>
        <w:t xml:space="preserve">Romeo </w:t>
      </w:r>
      <w:proofErr w:type="spellStart"/>
      <w:r w:rsidR="009A0A15" w:rsidRPr="00F938D8">
        <w:rPr>
          <w:rFonts w:asciiTheme="minorHAnsi" w:hAnsiTheme="minorHAnsi" w:cstheme="minorHAnsi"/>
          <w:i/>
          <w:iCs/>
          <w:lang w:val="en-US"/>
        </w:rPr>
        <w:t>Castaño</w:t>
      </w:r>
      <w:proofErr w:type="spellEnd"/>
      <w:r w:rsidR="009A0A15" w:rsidRPr="00533D7F">
        <w:rPr>
          <w:rFonts w:asciiTheme="minorHAnsi" w:hAnsiTheme="minorHAnsi" w:cstheme="minorHAnsi"/>
          <w:lang w:val="en-US"/>
        </w:rPr>
        <w:t xml:space="preserve"> </w:t>
      </w:r>
      <w:r w:rsidR="00D92CE0">
        <w:rPr>
          <w:rFonts w:asciiTheme="minorHAnsi" w:hAnsiTheme="minorHAnsi" w:cstheme="minorHAnsi"/>
          <w:lang w:val="en-US"/>
        </w:rPr>
        <w:t xml:space="preserve">cases </w:t>
      </w:r>
      <w:r w:rsidR="001F376C">
        <w:rPr>
          <w:rFonts w:asciiTheme="minorHAnsi" w:hAnsiTheme="minorHAnsi" w:cstheme="minorHAnsi"/>
          <w:lang w:val="en-US"/>
        </w:rPr>
        <w:t>where the Court established that</w:t>
      </w:r>
      <w:r w:rsidR="00123188">
        <w:rPr>
          <w:rFonts w:asciiTheme="minorHAnsi" w:hAnsiTheme="minorHAnsi" w:cstheme="minorHAnsi"/>
          <w:lang w:val="en-US"/>
        </w:rPr>
        <w:t xml:space="preserve"> </w:t>
      </w:r>
      <w:r w:rsidR="001F376C">
        <w:rPr>
          <w:rFonts w:asciiTheme="minorHAnsi" w:hAnsiTheme="minorHAnsi" w:cstheme="minorHAnsi"/>
          <w:lang w:val="en-US"/>
        </w:rPr>
        <w:t>in fact proper respect of human right</w:t>
      </w:r>
      <w:r>
        <w:rPr>
          <w:rFonts w:asciiTheme="minorHAnsi" w:hAnsiTheme="minorHAnsi" w:cstheme="minorHAnsi"/>
          <w:lang w:val="en-US"/>
        </w:rPr>
        <w:t>s</w:t>
      </w:r>
      <w:r w:rsidR="009D33B8">
        <w:rPr>
          <w:rFonts w:asciiTheme="minorHAnsi" w:hAnsiTheme="minorHAnsi" w:cstheme="minorHAnsi"/>
          <w:lang w:val="en-US"/>
        </w:rPr>
        <w:t xml:space="preserve"> </w:t>
      </w:r>
      <w:r w:rsidR="001F376C">
        <w:rPr>
          <w:rFonts w:asciiTheme="minorHAnsi" w:hAnsiTheme="minorHAnsi" w:cstheme="minorHAnsi"/>
          <w:lang w:val="en-US"/>
        </w:rPr>
        <w:t>requires</w:t>
      </w:r>
      <w:r w:rsidR="0010546C">
        <w:rPr>
          <w:rFonts w:asciiTheme="minorHAnsi" w:hAnsiTheme="minorHAnsi" w:cstheme="minorHAnsi"/>
          <w:lang w:val="en-US"/>
        </w:rPr>
        <w:t>,</w:t>
      </w:r>
      <w:r w:rsidR="001F376C">
        <w:rPr>
          <w:rFonts w:asciiTheme="minorHAnsi" w:hAnsiTheme="minorHAnsi" w:cstheme="minorHAnsi"/>
          <w:lang w:val="en-US"/>
        </w:rPr>
        <w:t xml:space="preserve"> in some cases</w:t>
      </w:r>
      <w:r w:rsidR="0010546C">
        <w:rPr>
          <w:rFonts w:asciiTheme="minorHAnsi" w:hAnsiTheme="minorHAnsi" w:cstheme="minorHAnsi"/>
          <w:lang w:val="en-US"/>
        </w:rPr>
        <w:t>,</w:t>
      </w:r>
      <w:r w:rsidR="001F376C">
        <w:rPr>
          <w:rFonts w:asciiTheme="minorHAnsi" w:hAnsiTheme="minorHAnsi" w:cstheme="minorHAnsi"/>
          <w:lang w:val="en-US"/>
        </w:rPr>
        <w:t xml:space="preserve"> a positive obligation to extradite </w:t>
      </w:r>
      <w:r w:rsidR="008008C8" w:rsidRPr="00533D7F">
        <w:rPr>
          <w:rFonts w:asciiTheme="minorHAnsi" w:hAnsiTheme="minorHAnsi" w:cstheme="minorHAnsi"/>
          <w:lang w:val="en-US"/>
        </w:rPr>
        <w:t>(Section 4)</w:t>
      </w:r>
      <w:r w:rsidR="00D5779E" w:rsidRPr="00533D7F">
        <w:rPr>
          <w:rFonts w:asciiTheme="minorHAnsi" w:hAnsiTheme="minorHAnsi" w:cstheme="minorHAnsi"/>
          <w:lang w:val="en-US"/>
        </w:rPr>
        <w:t xml:space="preserve">. </w:t>
      </w:r>
      <w:r w:rsidR="00FD4EFA">
        <w:rPr>
          <w:rFonts w:asciiTheme="minorHAnsi" w:hAnsiTheme="minorHAnsi" w:cstheme="minorHAnsi"/>
          <w:lang w:val="en-US"/>
        </w:rPr>
        <w:t xml:space="preserve">The ensuing section will then briefly discuss how these developments mirror </w:t>
      </w:r>
      <w:r w:rsidR="00E0497C">
        <w:rPr>
          <w:rFonts w:asciiTheme="minorHAnsi" w:hAnsiTheme="minorHAnsi" w:cstheme="minorHAnsi"/>
          <w:lang w:val="en-US"/>
        </w:rPr>
        <w:t xml:space="preserve">to some extent </w:t>
      </w:r>
      <w:r w:rsidR="00FD4EFA">
        <w:rPr>
          <w:rFonts w:asciiTheme="minorHAnsi" w:hAnsiTheme="minorHAnsi" w:cstheme="minorHAnsi"/>
          <w:lang w:val="en-US"/>
        </w:rPr>
        <w:t xml:space="preserve">the </w:t>
      </w:r>
      <w:r w:rsidR="00E0497C">
        <w:rPr>
          <w:rFonts w:asciiTheme="minorHAnsi" w:hAnsiTheme="minorHAnsi" w:cstheme="minorHAnsi"/>
          <w:lang w:val="en-US"/>
        </w:rPr>
        <w:t>rationale</w:t>
      </w:r>
      <w:r w:rsidR="00FD4EFA">
        <w:rPr>
          <w:rFonts w:asciiTheme="minorHAnsi" w:hAnsiTheme="minorHAnsi" w:cstheme="minorHAnsi"/>
          <w:lang w:val="en-US"/>
        </w:rPr>
        <w:t xml:space="preserve"> </w:t>
      </w:r>
      <w:r w:rsidR="00207282">
        <w:rPr>
          <w:rFonts w:asciiTheme="minorHAnsi" w:hAnsiTheme="minorHAnsi" w:cstheme="minorHAnsi"/>
          <w:lang w:val="en-US"/>
        </w:rPr>
        <w:t xml:space="preserve">traditionally </w:t>
      </w:r>
      <w:r w:rsidR="00E0497C">
        <w:rPr>
          <w:rFonts w:asciiTheme="minorHAnsi" w:hAnsiTheme="minorHAnsi" w:cstheme="minorHAnsi"/>
          <w:lang w:val="en-US"/>
        </w:rPr>
        <w:t>followed</w:t>
      </w:r>
      <w:r w:rsidR="00FD4EFA">
        <w:rPr>
          <w:rFonts w:asciiTheme="minorHAnsi" w:hAnsiTheme="minorHAnsi" w:cstheme="minorHAnsi"/>
          <w:lang w:val="en-US"/>
        </w:rPr>
        <w:t xml:space="preserve"> by the </w:t>
      </w:r>
      <w:r w:rsidR="00210D4E">
        <w:rPr>
          <w:rFonts w:asciiTheme="minorHAnsi" w:hAnsiTheme="minorHAnsi" w:cstheme="minorHAnsi"/>
          <w:lang w:val="en-US"/>
        </w:rPr>
        <w:t xml:space="preserve">CJEU </w:t>
      </w:r>
      <w:r w:rsidR="00E0497C">
        <w:rPr>
          <w:rFonts w:asciiTheme="minorHAnsi" w:hAnsiTheme="minorHAnsi" w:cstheme="minorHAnsi"/>
          <w:lang w:val="en-US"/>
        </w:rPr>
        <w:t>and how the two Courts have come to re</w:t>
      </w:r>
      <w:r w:rsidR="006C3FFA">
        <w:rPr>
          <w:rFonts w:asciiTheme="minorHAnsi" w:hAnsiTheme="minorHAnsi" w:cstheme="minorHAnsi"/>
          <w:lang w:val="en-US"/>
        </w:rPr>
        <w:t>s</w:t>
      </w:r>
      <w:r w:rsidR="00E0497C">
        <w:rPr>
          <w:rFonts w:asciiTheme="minorHAnsi" w:hAnsiTheme="minorHAnsi" w:cstheme="minorHAnsi"/>
          <w:lang w:val="en-US"/>
        </w:rPr>
        <w:t>olve the growing tension</w:t>
      </w:r>
      <w:r w:rsidR="006C3FFA">
        <w:rPr>
          <w:rFonts w:asciiTheme="minorHAnsi" w:hAnsiTheme="minorHAnsi" w:cstheme="minorHAnsi"/>
          <w:lang w:val="en-US"/>
        </w:rPr>
        <w:t xml:space="preserve"> between</w:t>
      </w:r>
      <w:r w:rsidR="00E0497C">
        <w:rPr>
          <w:rFonts w:asciiTheme="minorHAnsi" w:hAnsiTheme="minorHAnsi" w:cstheme="minorHAnsi"/>
          <w:lang w:val="en-US"/>
        </w:rPr>
        <w:t xml:space="preserve"> their different approaches </w:t>
      </w:r>
      <w:r w:rsidR="00207282">
        <w:rPr>
          <w:rFonts w:asciiTheme="minorHAnsi" w:hAnsiTheme="minorHAnsi" w:cstheme="minorHAnsi"/>
          <w:lang w:val="en-US"/>
        </w:rPr>
        <w:t>(Section 5).</w:t>
      </w:r>
      <w:r w:rsidR="00FD4EFA">
        <w:rPr>
          <w:rFonts w:asciiTheme="minorHAnsi" w:hAnsiTheme="minorHAnsi" w:cstheme="minorHAnsi"/>
          <w:lang w:val="en-US"/>
        </w:rPr>
        <w:t xml:space="preserve"> </w:t>
      </w:r>
      <w:r w:rsidR="00D5779E" w:rsidRPr="00533D7F">
        <w:rPr>
          <w:rFonts w:asciiTheme="minorHAnsi" w:hAnsiTheme="minorHAnsi" w:cstheme="minorHAnsi"/>
          <w:lang w:val="en-US"/>
        </w:rPr>
        <w:t xml:space="preserve">The final section will eventually </w:t>
      </w:r>
      <w:r w:rsidR="00FD635C">
        <w:rPr>
          <w:rFonts w:asciiTheme="minorHAnsi" w:hAnsiTheme="minorHAnsi" w:cstheme="minorHAnsi"/>
          <w:lang w:val="en-US"/>
        </w:rPr>
        <w:t xml:space="preserve">contrast </w:t>
      </w:r>
      <w:r w:rsidR="00FD4EFA" w:rsidRPr="00533D7F">
        <w:rPr>
          <w:rFonts w:asciiTheme="minorHAnsi" w:hAnsiTheme="minorHAnsi" w:cstheme="minorHAnsi"/>
          <w:lang w:val="en-US"/>
        </w:rPr>
        <w:t>th</w:t>
      </w:r>
      <w:r w:rsidR="00FD4EFA">
        <w:rPr>
          <w:rFonts w:asciiTheme="minorHAnsi" w:hAnsiTheme="minorHAnsi" w:cstheme="minorHAnsi"/>
          <w:lang w:val="en-US"/>
        </w:rPr>
        <w:t>e</w:t>
      </w:r>
      <w:r w:rsidR="00FD635C">
        <w:rPr>
          <w:rFonts w:asciiTheme="minorHAnsi" w:hAnsiTheme="minorHAnsi" w:cstheme="minorHAnsi"/>
          <w:lang w:val="en-US"/>
        </w:rPr>
        <w:t xml:space="preserve"> approach in</w:t>
      </w:r>
      <w:r w:rsidR="00FD4EFA">
        <w:rPr>
          <w:rFonts w:asciiTheme="minorHAnsi" w:hAnsiTheme="minorHAnsi" w:cstheme="minorHAnsi"/>
          <w:lang w:val="en-US"/>
        </w:rPr>
        <w:t xml:space="preserve"> </w:t>
      </w:r>
      <w:proofErr w:type="spellStart"/>
      <w:r w:rsidR="00FD4EFA" w:rsidRPr="00533D7F">
        <w:rPr>
          <w:rFonts w:asciiTheme="minorHAnsi" w:hAnsiTheme="minorHAnsi" w:cstheme="minorHAnsi"/>
          <w:i/>
          <w:iCs/>
          <w:lang w:val="en-US"/>
        </w:rPr>
        <w:t>Güzelyurtlu</w:t>
      </w:r>
      <w:proofErr w:type="spellEnd"/>
      <w:r w:rsidR="00FD4EFA" w:rsidRPr="00533D7F">
        <w:rPr>
          <w:rFonts w:asciiTheme="minorHAnsi" w:hAnsiTheme="minorHAnsi" w:cstheme="minorHAnsi"/>
          <w:lang w:val="en-US"/>
        </w:rPr>
        <w:t xml:space="preserve"> and </w:t>
      </w:r>
      <w:r w:rsidR="00FD4EFA" w:rsidRPr="00094D59">
        <w:rPr>
          <w:rFonts w:asciiTheme="minorHAnsi" w:hAnsiTheme="minorHAnsi" w:cstheme="minorHAnsi"/>
          <w:i/>
          <w:iCs/>
          <w:lang w:val="en-US"/>
        </w:rPr>
        <w:t xml:space="preserve">Romeo </w:t>
      </w:r>
      <w:proofErr w:type="spellStart"/>
      <w:r w:rsidR="00FD4EFA" w:rsidRPr="00094D59">
        <w:rPr>
          <w:rFonts w:asciiTheme="minorHAnsi" w:hAnsiTheme="minorHAnsi" w:cstheme="minorHAnsi"/>
          <w:i/>
          <w:iCs/>
          <w:lang w:val="en-US"/>
        </w:rPr>
        <w:t>Castaño</w:t>
      </w:r>
      <w:proofErr w:type="spellEnd"/>
      <w:r w:rsidR="00FD4EFA" w:rsidRPr="00533D7F">
        <w:rPr>
          <w:rFonts w:asciiTheme="minorHAnsi" w:hAnsiTheme="minorHAnsi" w:cstheme="minorHAnsi"/>
          <w:lang w:val="en-US"/>
        </w:rPr>
        <w:t xml:space="preserve"> </w:t>
      </w:r>
      <w:r w:rsidR="00FD635C">
        <w:rPr>
          <w:rFonts w:asciiTheme="minorHAnsi" w:hAnsiTheme="minorHAnsi" w:cstheme="minorHAnsi"/>
          <w:lang w:val="en-US"/>
        </w:rPr>
        <w:t xml:space="preserve">with that in </w:t>
      </w:r>
      <w:proofErr w:type="spellStart"/>
      <w:r w:rsidR="0058179A" w:rsidRPr="00653EEE">
        <w:rPr>
          <w:rFonts w:asciiTheme="minorHAnsi" w:hAnsiTheme="minorHAnsi" w:cstheme="minorHAnsi"/>
          <w:i/>
          <w:iCs/>
          <w:lang w:val="en-US"/>
        </w:rPr>
        <w:t>Soering</w:t>
      </w:r>
      <w:proofErr w:type="spellEnd"/>
      <w:r w:rsidR="003029F1" w:rsidRPr="00653EEE">
        <w:rPr>
          <w:rFonts w:asciiTheme="minorHAnsi" w:hAnsiTheme="minorHAnsi" w:cstheme="minorHAnsi"/>
          <w:lang w:val="en-US"/>
        </w:rPr>
        <w:t xml:space="preserve"> </w:t>
      </w:r>
      <w:r w:rsidR="00380C87" w:rsidRPr="00653EEE">
        <w:rPr>
          <w:rFonts w:asciiTheme="minorHAnsi" w:hAnsiTheme="minorHAnsi" w:cstheme="minorHAnsi"/>
          <w:lang w:val="en-US"/>
        </w:rPr>
        <w:t>and</w:t>
      </w:r>
      <w:r w:rsidR="00FD635C">
        <w:rPr>
          <w:rFonts w:asciiTheme="minorHAnsi" w:hAnsiTheme="minorHAnsi" w:cstheme="minorHAnsi"/>
          <w:lang w:val="en-US"/>
        </w:rPr>
        <w:t xml:space="preserve"> draw the relevant conclusions as to the Court </w:t>
      </w:r>
      <w:r w:rsidR="003029F1" w:rsidRPr="00653EEE">
        <w:rPr>
          <w:rFonts w:asciiTheme="minorHAnsi" w:hAnsiTheme="minorHAnsi" w:cstheme="minorHAnsi"/>
          <w:lang w:val="en-US"/>
        </w:rPr>
        <w:t>push</w:t>
      </w:r>
      <w:r w:rsidR="00FD635C">
        <w:rPr>
          <w:rFonts w:asciiTheme="minorHAnsi" w:hAnsiTheme="minorHAnsi" w:cstheme="minorHAnsi"/>
          <w:lang w:val="en-US"/>
        </w:rPr>
        <w:t>ing</w:t>
      </w:r>
      <w:r w:rsidR="003029F1" w:rsidRPr="00653EEE">
        <w:rPr>
          <w:rFonts w:asciiTheme="minorHAnsi" w:hAnsiTheme="minorHAnsi" w:cstheme="minorHAnsi"/>
          <w:lang w:val="en-US"/>
        </w:rPr>
        <w:t xml:space="preserve"> towards an </w:t>
      </w:r>
      <w:proofErr w:type="spellStart"/>
      <w:r w:rsidR="003029F1" w:rsidRPr="00653EEE">
        <w:rPr>
          <w:rFonts w:asciiTheme="minorHAnsi" w:hAnsiTheme="minorHAnsi" w:cstheme="minorHAnsi"/>
          <w:lang w:val="en-US"/>
        </w:rPr>
        <w:t>automatisation</w:t>
      </w:r>
      <w:proofErr w:type="spellEnd"/>
      <w:r w:rsidR="003029F1" w:rsidRPr="00653EEE">
        <w:rPr>
          <w:rFonts w:asciiTheme="minorHAnsi" w:hAnsiTheme="minorHAnsi" w:cstheme="minorHAnsi"/>
          <w:lang w:val="en-US"/>
        </w:rPr>
        <w:t xml:space="preserve"> of extradition procedures.</w:t>
      </w:r>
    </w:p>
    <w:p w14:paraId="2BBDDF8C" w14:textId="77777777" w:rsidR="006A6559" w:rsidRPr="00533D7F" w:rsidRDefault="006A6559" w:rsidP="0058179A">
      <w:pPr>
        <w:jc w:val="both"/>
        <w:rPr>
          <w:rFonts w:asciiTheme="minorHAnsi" w:hAnsiTheme="minorHAnsi" w:cstheme="minorHAnsi"/>
          <w:lang w:val="en-US"/>
        </w:rPr>
      </w:pPr>
    </w:p>
    <w:p w14:paraId="30C6BAF2" w14:textId="3AB8BD50" w:rsidR="00D01374" w:rsidRPr="00533D7F" w:rsidRDefault="00606EB9" w:rsidP="00D01374">
      <w:pPr>
        <w:pStyle w:val="Titre2"/>
        <w:numPr>
          <w:ilvl w:val="0"/>
          <w:numId w:val="1"/>
        </w:numPr>
        <w:rPr>
          <w:rFonts w:asciiTheme="minorHAnsi" w:hAnsiTheme="minorHAnsi" w:cstheme="minorHAnsi"/>
          <w:lang w:val="en-US"/>
        </w:rPr>
      </w:pPr>
      <w:r>
        <w:rPr>
          <w:rFonts w:asciiTheme="minorHAnsi" w:hAnsiTheme="minorHAnsi" w:cstheme="minorHAnsi"/>
          <w:lang w:val="en-US"/>
        </w:rPr>
        <w:t xml:space="preserve">Need for specific fundamental rights for individuals caught in transnational </w:t>
      </w:r>
      <w:r w:rsidR="008A5A7B">
        <w:rPr>
          <w:rFonts w:asciiTheme="minorHAnsi" w:hAnsiTheme="minorHAnsi" w:cstheme="minorHAnsi"/>
          <w:lang w:val="en-US"/>
        </w:rPr>
        <w:t>cooperation</w:t>
      </w:r>
      <w:r>
        <w:rPr>
          <w:rFonts w:asciiTheme="minorHAnsi" w:hAnsiTheme="minorHAnsi" w:cstheme="minorHAnsi"/>
          <w:lang w:val="en-US"/>
        </w:rPr>
        <w:t>. Going beyond</w:t>
      </w:r>
      <w:r w:rsidR="006C6384" w:rsidRPr="00533D7F">
        <w:rPr>
          <w:rFonts w:asciiTheme="minorHAnsi" w:hAnsiTheme="minorHAnsi" w:cstheme="minorHAnsi"/>
          <w:lang w:val="en-US"/>
        </w:rPr>
        <w:t xml:space="preserve"> </w:t>
      </w:r>
      <w:r w:rsidR="006C6384" w:rsidRPr="00F938D8">
        <w:rPr>
          <w:rFonts w:asciiTheme="minorHAnsi" w:hAnsiTheme="minorHAnsi" w:cstheme="minorHAnsi"/>
          <w:i/>
          <w:iCs/>
          <w:lang w:val="en-US"/>
        </w:rPr>
        <w:t>ne bis in idem</w:t>
      </w:r>
      <w:r w:rsidR="006C6384" w:rsidRPr="00533D7F">
        <w:rPr>
          <w:rFonts w:asciiTheme="minorHAnsi" w:hAnsiTheme="minorHAnsi" w:cstheme="minorHAnsi"/>
          <w:lang w:val="en-US"/>
        </w:rPr>
        <w:t>?</w:t>
      </w:r>
    </w:p>
    <w:p w14:paraId="52FEA4E3" w14:textId="77777777" w:rsidR="00D01374" w:rsidRPr="00533D7F" w:rsidRDefault="00D01374" w:rsidP="00D01374">
      <w:pPr>
        <w:rPr>
          <w:rFonts w:asciiTheme="minorHAnsi" w:hAnsiTheme="minorHAnsi" w:cstheme="minorHAnsi"/>
          <w:lang w:val="en-US"/>
        </w:rPr>
      </w:pPr>
    </w:p>
    <w:p w14:paraId="73F95B83" w14:textId="561FF960" w:rsidR="00136A53" w:rsidRPr="00533D7F" w:rsidRDefault="0080338C" w:rsidP="00136A53">
      <w:pPr>
        <w:jc w:val="both"/>
        <w:rPr>
          <w:rFonts w:asciiTheme="minorHAnsi" w:hAnsiTheme="minorHAnsi" w:cstheme="minorHAnsi"/>
          <w:color w:val="000000" w:themeColor="text1"/>
          <w:lang w:val="en-US"/>
        </w:rPr>
      </w:pPr>
      <w:r w:rsidRPr="00533D7F">
        <w:rPr>
          <w:rFonts w:asciiTheme="minorHAnsi" w:hAnsiTheme="minorHAnsi" w:cstheme="minorHAnsi"/>
          <w:lang w:val="en-US"/>
        </w:rPr>
        <w:t>T</w:t>
      </w:r>
      <w:r w:rsidR="0099179D" w:rsidRPr="00533D7F">
        <w:rPr>
          <w:rFonts w:asciiTheme="minorHAnsi" w:hAnsiTheme="minorHAnsi" w:cstheme="minorHAnsi"/>
          <w:lang w:val="en-US"/>
        </w:rPr>
        <w:t xml:space="preserve">reaty-based provisions protecting </w:t>
      </w:r>
      <w:r w:rsidR="006B2E17" w:rsidRPr="00533D7F">
        <w:rPr>
          <w:rFonts w:asciiTheme="minorHAnsi" w:hAnsiTheme="minorHAnsi" w:cstheme="minorHAnsi"/>
          <w:lang w:val="en-US"/>
        </w:rPr>
        <w:t xml:space="preserve">the </w:t>
      </w:r>
      <w:r w:rsidR="0099179D" w:rsidRPr="00533D7F">
        <w:rPr>
          <w:rFonts w:asciiTheme="minorHAnsi" w:hAnsiTheme="minorHAnsi" w:cstheme="minorHAnsi"/>
          <w:lang w:val="en-US"/>
        </w:rPr>
        <w:t xml:space="preserve">human rights </w:t>
      </w:r>
      <w:r w:rsidR="009321B7" w:rsidRPr="00533D7F">
        <w:rPr>
          <w:rFonts w:asciiTheme="minorHAnsi" w:hAnsiTheme="minorHAnsi" w:cstheme="minorHAnsi"/>
          <w:lang w:val="en-US"/>
        </w:rPr>
        <w:t xml:space="preserve">of people </w:t>
      </w:r>
      <w:r w:rsidR="002C355C">
        <w:rPr>
          <w:rFonts w:asciiTheme="minorHAnsi" w:hAnsiTheme="minorHAnsi" w:cstheme="minorHAnsi"/>
          <w:lang w:val="en-US"/>
        </w:rPr>
        <w:t xml:space="preserve">facing extradition or international investigations </w:t>
      </w:r>
      <w:r w:rsidR="0099179D" w:rsidRPr="00533D7F">
        <w:rPr>
          <w:rFonts w:asciiTheme="minorHAnsi" w:hAnsiTheme="minorHAnsi" w:cstheme="minorHAnsi"/>
          <w:lang w:val="en-US"/>
        </w:rPr>
        <w:t>are not exactly lining up</w:t>
      </w:r>
      <w:r w:rsidR="00337A67" w:rsidRPr="00533D7F">
        <w:rPr>
          <w:rFonts w:asciiTheme="minorHAnsi" w:hAnsiTheme="minorHAnsi" w:cstheme="minorHAnsi"/>
          <w:lang w:val="en-US"/>
        </w:rPr>
        <w:t xml:space="preserve"> </w:t>
      </w:r>
      <w:r w:rsidR="00865C2F" w:rsidRPr="00533D7F">
        <w:rPr>
          <w:rFonts w:asciiTheme="minorHAnsi" w:hAnsiTheme="minorHAnsi" w:cstheme="minorHAnsi"/>
          <w:lang w:val="en-US"/>
        </w:rPr>
        <w:t>in</w:t>
      </w:r>
      <w:r w:rsidR="00337A67" w:rsidRPr="00533D7F">
        <w:rPr>
          <w:rFonts w:asciiTheme="minorHAnsi" w:hAnsiTheme="minorHAnsi" w:cstheme="minorHAnsi"/>
          <w:lang w:val="en-US"/>
        </w:rPr>
        <w:t xml:space="preserve"> the ECHR</w:t>
      </w:r>
      <w:r w:rsidR="0099179D" w:rsidRPr="00533D7F">
        <w:rPr>
          <w:rFonts w:asciiTheme="minorHAnsi" w:hAnsiTheme="minorHAnsi" w:cstheme="minorHAnsi"/>
          <w:lang w:val="en-US"/>
        </w:rPr>
        <w:t xml:space="preserve">. </w:t>
      </w:r>
      <w:r w:rsidR="00FD635C">
        <w:rPr>
          <w:rFonts w:asciiTheme="minorHAnsi" w:hAnsiTheme="minorHAnsi" w:cstheme="minorHAnsi"/>
          <w:lang w:val="en-US"/>
        </w:rPr>
        <w:t xml:space="preserve">Admittedly, </w:t>
      </w:r>
      <w:r w:rsidR="00FD635C">
        <w:rPr>
          <w:rFonts w:asciiTheme="minorHAnsi" w:hAnsiTheme="minorHAnsi" w:cstheme="minorHAnsi"/>
          <w:color w:val="000000" w:themeColor="text1"/>
          <w:lang w:val="en-US"/>
        </w:rPr>
        <w:t>t</w:t>
      </w:r>
      <w:r w:rsidR="00C41646">
        <w:rPr>
          <w:rFonts w:asciiTheme="minorHAnsi" w:hAnsiTheme="minorHAnsi" w:cstheme="minorHAnsi"/>
          <w:color w:val="000000" w:themeColor="text1"/>
          <w:lang w:val="en-US"/>
        </w:rPr>
        <w:t xml:space="preserve">he </w:t>
      </w:r>
      <w:r w:rsidR="001576A8">
        <w:rPr>
          <w:rFonts w:asciiTheme="minorHAnsi" w:hAnsiTheme="minorHAnsi" w:cstheme="minorHAnsi"/>
          <w:color w:val="000000" w:themeColor="text1"/>
          <w:lang w:val="en-US"/>
        </w:rPr>
        <w:t xml:space="preserve">1957 </w:t>
      </w:r>
      <w:r w:rsidR="00C41646">
        <w:rPr>
          <w:rFonts w:asciiTheme="minorHAnsi" w:hAnsiTheme="minorHAnsi" w:cstheme="minorHAnsi"/>
          <w:color w:val="000000" w:themeColor="text1"/>
          <w:lang w:val="en-US"/>
        </w:rPr>
        <w:t>Convention</w:t>
      </w:r>
      <w:r w:rsidR="00E817C7">
        <w:rPr>
          <w:rFonts w:asciiTheme="minorHAnsi" w:hAnsiTheme="minorHAnsi" w:cstheme="minorHAnsi"/>
          <w:color w:val="000000" w:themeColor="text1"/>
          <w:lang w:val="en-US"/>
        </w:rPr>
        <w:t xml:space="preserve"> on Extradition</w:t>
      </w:r>
      <w:r w:rsidR="00311F56">
        <w:rPr>
          <w:rStyle w:val="Appelnotedebasdep"/>
          <w:rFonts w:asciiTheme="minorHAnsi" w:hAnsiTheme="minorHAnsi" w:cstheme="minorHAnsi"/>
          <w:color w:val="000000" w:themeColor="text1"/>
          <w:lang w:val="en-US"/>
        </w:rPr>
        <w:footnoteReference w:id="6"/>
      </w:r>
      <w:r w:rsidR="00C41646">
        <w:rPr>
          <w:rFonts w:asciiTheme="minorHAnsi" w:hAnsiTheme="minorHAnsi" w:cstheme="minorHAnsi"/>
          <w:color w:val="000000" w:themeColor="text1"/>
          <w:lang w:val="en-US"/>
        </w:rPr>
        <w:t xml:space="preserve"> </w:t>
      </w:r>
      <w:r w:rsidR="00136A53">
        <w:rPr>
          <w:rFonts w:asciiTheme="minorHAnsi" w:hAnsiTheme="minorHAnsi" w:cstheme="minorHAnsi"/>
          <w:color w:val="000000" w:themeColor="text1"/>
          <w:lang w:val="en-US"/>
        </w:rPr>
        <w:t>lists a number of grounds for refusal</w:t>
      </w:r>
      <w:r w:rsidR="00D87274">
        <w:rPr>
          <w:rFonts w:asciiTheme="minorHAnsi" w:hAnsiTheme="minorHAnsi" w:cstheme="minorHAnsi"/>
          <w:color w:val="000000" w:themeColor="text1"/>
          <w:lang w:val="en-US"/>
        </w:rPr>
        <w:t>, or principles regulating extradition,</w:t>
      </w:r>
      <w:r w:rsidR="00136A53">
        <w:rPr>
          <w:rFonts w:asciiTheme="minorHAnsi" w:hAnsiTheme="minorHAnsi" w:cstheme="minorHAnsi"/>
          <w:color w:val="000000" w:themeColor="text1"/>
          <w:lang w:val="en-US"/>
        </w:rPr>
        <w:t xml:space="preserve"> which could potentially be construed as </w:t>
      </w:r>
      <w:r w:rsidR="00D87274">
        <w:rPr>
          <w:rFonts w:asciiTheme="minorHAnsi" w:hAnsiTheme="minorHAnsi" w:cstheme="minorHAnsi"/>
          <w:color w:val="000000" w:themeColor="text1"/>
          <w:lang w:val="en-US"/>
        </w:rPr>
        <w:t xml:space="preserve">individual </w:t>
      </w:r>
      <w:r w:rsidR="00136A53">
        <w:rPr>
          <w:rFonts w:asciiTheme="minorHAnsi" w:hAnsiTheme="minorHAnsi" w:cstheme="minorHAnsi"/>
          <w:color w:val="000000" w:themeColor="text1"/>
          <w:lang w:val="en-US"/>
        </w:rPr>
        <w:t xml:space="preserve">rights of the </w:t>
      </w:r>
      <w:r w:rsidR="000C3949">
        <w:rPr>
          <w:rFonts w:asciiTheme="minorHAnsi" w:hAnsiTheme="minorHAnsi" w:cstheme="minorHAnsi"/>
          <w:color w:val="000000" w:themeColor="text1"/>
          <w:lang w:val="en-US"/>
        </w:rPr>
        <w:t xml:space="preserve">person </w:t>
      </w:r>
      <w:r w:rsidR="00D54D8D">
        <w:rPr>
          <w:rFonts w:asciiTheme="minorHAnsi" w:hAnsiTheme="minorHAnsi" w:cstheme="minorHAnsi"/>
          <w:color w:val="000000" w:themeColor="text1"/>
          <w:lang w:val="en-US"/>
        </w:rPr>
        <w:t>whose</w:t>
      </w:r>
      <w:r w:rsidR="000C3949">
        <w:rPr>
          <w:rFonts w:asciiTheme="minorHAnsi" w:hAnsiTheme="minorHAnsi" w:cstheme="minorHAnsi"/>
          <w:color w:val="000000" w:themeColor="text1"/>
          <w:lang w:val="en-US"/>
        </w:rPr>
        <w:t xml:space="preserve"> extradition</w:t>
      </w:r>
      <w:r w:rsidR="00D54D8D">
        <w:rPr>
          <w:rFonts w:asciiTheme="minorHAnsi" w:hAnsiTheme="minorHAnsi" w:cstheme="minorHAnsi"/>
          <w:color w:val="000000" w:themeColor="text1"/>
          <w:lang w:val="en-US"/>
        </w:rPr>
        <w:t xml:space="preserve"> is being requested</w:t>
      </w:r>
      <w:r w:rsidR="000C3949">
        <w:rPr>
          <w:rFonts w:asciiTheme="minorHAnsi" w:hAnsiTheme="minorHAnsi" w:cstheme="minorHAnsi"/>
          <w:color w:val="000000" w:themeColor="text1"/>
          <w:lang w:val="en-US"/>
        </w:rPr>
        <w:t>. These</w:t>
      </w:r>
      <w:r w:rsidR="00136A53">
        <w:rPr>
          <w:rFonts w:asciiTheme="minorHAnsi" w:hAnsiTheme="minorHAnsi" w:cstheme="minorHAnsi"/>
          <w:color w:val="000000" w:themeColor="text1"/>
          <w:lang w:val="en-US"/>
        </w:rPr>
        <w:t xml:space="preserve"> include the </w:t>
      </w:r>
      <w:r w:rsidR="00136A53" w:rsidRPr="00123188">
        <w:rPr>
          <w:rFonts w:asciiTheme="minorHAnsi" w:hAnsiTheme="minorHAnsi"/>
          <w:i/>
          <w:color w:val="000000" w:themeColor="text1"/>
          <w:lang w:val="en-US"/>
        </w:rPr>
        <w:t>ne bis in idem</w:t>
      </w:r>
      <w:r w:rsidR="00136A53" w:rsidRPr="00650689">
        <w:rPr>
          <w:rFonts w:asciiTheme="minorHAnsi" w:hAnsiTheme="minorHAnsi"/>
          <w:i/>
          <w:color w:val="000000" w:themeColor="text1"/>
          <w:lang w:val="en-US"/>
        </w:rPr>
        <w:t xml:space="preserve"> </w:t>
      </w:r>
      <w:r w:rsidR="00136A53">
        <w:rPr>
          <w:rFonts w:asciiTheme="minorHAnsi" w:hAnsiTheme="minorHAnsi" w:cstheme="minorHAnsi"/>
          <w:color w:val="000000" w:themeColor="text1"/>
          <w:lang w:val="en-US"/>
        </w:rPr>
        <w:t>principle,</w:t>
      </w:r>
      <w:r w:rsidR="000C3949">
        <w:rPr>
          <w:rFonts w:asciiTheme="minorHAnsi" w:hAnsiTheme="minorHAnsi" w:cstheme="minorHAnsi"/>
          <w:color w:val="000000" w:themeColor="text1"/>
          <w:lang w:val="en-US"/>
        </w:rPr>
        <w:t xml:space="preserve"> in </w:t>
      </w:r>
      <w:r w:rsidR="00447CB5">
        <w:rPr>
          <w:rFonts w:asciiTheme="minorHAnsi" w:hAnsiTheme="minorHAnsi" w:cstheme="minorHAnsi"/>
          <w:color w:val="000000" w:themeColor="text1"/>
          <w:lang w:val="en-US"/>
        </w:rPr>
        <w:t>A</w:t>
      </w:r>
      <w:r w:rsidR="000C3949">
        <w:rPr>
          <w:rFonts w:asciiTheme="minorHAnsi" w:hAnsiTheme="minorHAnsi" w:cstheme="minorHAnsi"/>
          <w:color w:val="000000" w:themeColor="text1"/>
          <w:lang w:val="en-US"/>
        </w:rPr>
        <w:t>rticle 9</w:t>
      </w:r>
      <w:r w:rsidR="009B6AE0">
        <w:rPr>
          <w:rFonts w:asciiTheme="minorHAnsi" w:hAnsiTheme="minorHAnsi" w:cstheme="minorHAnsi"/>
          <w:color w:val="000000" w:themeColor="text1"/>
          <w:lang w:val="en-US"/>
        </w:rPr>
        <w:t xml:space="preserve"> of the Convention on Extradition</w:t>
      </w:r>
      <w:r w:rsidR="000C3949">
        <w:rPr>
          <w:rFonts w:asciiTheme="minorHAnsi" w:hAnsiTheme="minorHAnsi" w:cstheme="minorHAnsi"/>
          <w:color w:val="000000" w:themeColor="text1"/>
          <w:lang w:val="en-US"/>
        </w:rPr>
        <w:t>, which is</w:t>
      </w:r>
      <w:r w:rsidR="00136A53">
        <w:rPr>
          <w:rFonts w:asciiTheme="minorHAnsi" w:hAnsiTheme="minorHAnsi" w:cstheme="minorHAnsi"/>
          <w:color w:val="000000" w:themeColor="text1"/>
          <w:lang w:val="en-US"/>
        </w:rPr>
        <w:t xml:space="preserve"> </w:t>
      </w:r>
      <w:r w:rsidR="000C3949" w:rsidRPr="000C3949">
        <w:rPr>
          <w:rFonts w:asciiTheme="minorHAnsi" w:hAnsiTheme="minorHAnsi" w:cstheme="minorHAnsi"/>
          <w:color w:val="000000" w:themeColor="text1"/>
          <w:lang w:val="en-US"/>
        </w:rPr>
        <w:t xml:space="preserve">a commonly agreed principle enshrined in the criminal law of most States </w:t>
      </w:r>
      <w:r w:rsidR="009073FE">
        <w:rPr>
          <w:rFonts w:asciiTheme="minorHAnsi" w:hAnsiTheme="minorHAnsi" w:cstheme="minorHAnsi"/>
          <w:color w:val="000000" w:themeColor="text1"/>
          <w:lang w:val="en-US"/>
        </w:rPr>
        <w:t xml:space="preserve">and </w:t>
      </w:r>
      <w:r w:rsidR="000C3949" w:rsidRPr="000C3949">
        <w:rPr>
          <w:rFonts w:asciiTheme="minorHAnsi" w:hAnsiTheme="minorHAnsi" w:cstheme="minorHAnsi"/>
          <w:color w:val="000000" w:themeColor="text1"/>
          <w:lang w:val="en-US"/>
        </w:rPr>
        <w:t>according to which one cannot be tried for the same offence twice.</w:t>
      </w:r>
      <w:r w:rsidR="000C3949" w:rsidRPr="00533D7F">
        <w:rPr>
          <w:rStyle w:val="Appelnotedebasdep"/>
          <w:rFonts w:asciiTheme="minorHAnsi" w:hAnsiTheme="minorHAnsi" w:cstheme="minorHAnsi"/>
          <w:color w:val="000000" w:themeColor="text1"/>
          <w:lang w:val="en-US"/>
        </w:rPr>
        <w:footnoteReference w:id="7"/>
      </w:r>
      <w:r w:rsidR="000C3949" w:rsidRPr="000C3949">
        <w:rPr>
          <w:rFonts w:asciiTheme="minorHAnsi" w:hAnsiTheme="minorHAnsi" w:cstheme="minorHAnsi"/>
          <w:color w:val="000000" w:themeColor="text1"/>
          <w:lang w:val="en-US"/>
        </w:rPr>
        <w:t xml:space="preserve"> This rationale follows </w:t>
      </w:r>
      <w:r w:rsidR="00447CB5">
        <w:rPr>
          <w:rFonts w:asciiTheme="minorHAnsi" w:hAnsiTheme="minorHAnsi" w:cstheme="minorHAnsi"/>
          <w:color w:val="000000" w:themeColor="text1"/>
          <w:lang w:val="en-US"/>
        </w:rPr>
        <w:t>two objective</w:t>
      </w:r>
      <w:r w:rsidR="006C10E9">
        <w:rPr>
          <w:rFonts w:asciiTheme="minorHAnsi" w:hAnsiTheme="minorHAnsi" w:cstheme="minorHAnsi"/>
          <w:color w:val="000000" w:themeColor="text1"/>
          <w:lang w:val="en-US"/>
        </w:rPr>
        <w:t>s</w:t>
      </w:r>
      <w:r w:rsidR="000C3949" w:rsidRPr="000C3949">
        <w:rPr>
          <w:rFonts w:asciiTheme="minorHAnsi" w:hAnsiTheme="minorHAnsi" w:cstheme="minorHAnsi"/>
          <w:color w:val="000000" w:themeColor="text1"/>
          <w:lang w:val="en-US"/>
        </w:rPr>
        <w:t xml:space="preserve">: the protection of people against the </w:t>
      </w:r>
      <w:proofErr w:type="spellStart"/>
      <w:r w:rsidR="000C3949" w:rsidRPr="000C3949">
        <w:rPr>
          <w:rFonts w:asciiTheme="minorHAnsi" w:hAnsiTheme="minorHAnsi" w:cstheme="minorHAnsi"/>
          <w:i/>
          <w:iCs/>
          <w:color w:val="000000" w:themeColor="text1"/>
          <w:lang w:val="en-US"/>
        </w:rPr>
        <w:t>ius</w:t>
      </w:r>
      <w:proofErr w:type="spellEnd"/>
      <w:r w:rsidR="000C3949" w:rsidRPr="000C3949">
        <w:rPr>
          <w:rFonts w:asciiTheme="minorHAnsi" w:hAnsiTheme="minorHAnsi" w:cstheme="minorHAnsi"/>
          <w:i/>
          <w:iCs/>
          <w:color w:val="000000" w:themeColor="text1"/>
          <w:lang w:val="en-US"/>
        </w:rPr>
        <w:t xml:space="preserve"> </w:t>
      </w:r>
      <w:proofErr w:type="spellStart"/>
      <w:r w:rsidR="000C3949" w:rsidRPr="000C3949">
        <w:rPr>
          <w:rFonts w:asciiTheme="minorHAnsi" w:hAnsiTheme="minorHAnsi" w:cstheme="minorHAnsi"/>
          <w:i/>
          <w:iCs/>
          <w:color w:val="000000" w:themeColor="text1"/>
          <w:lang w:val="en-US"/>
        </w:rPr>
        <w:t>puniendi</w:t>
      </w:r>
      <w:proofErr w:type="spellEnd"/>
      <w:r w:rsidR="000C3949" w:rsidRPr="000C3949">
        <w:rPr>
          <w:rFonts w:asciiTheme="minorHAnsi" w:hAnsiTheme="minorHAnsi" w:cstheme="minorHAnsi"/>
          <w:color w:val="000000" w:themeColor="text1"/>
          <w:lang w:val="en-US"/>
        </w:rPr>
        <w:t xml:space="preserve"> of the states,</w:t>
      </w:r>
      <w:r w:rsidR="000C3949" w:rsidRPr="00533D7F">
        <w:rPr>
          <w:rStyle w:val="Appelnotedebasdep"/>
          <w:rFonts w:asciiTheme="minorHAnsi" w:hAnsiTheme="minorHAnsi" w:cstheme="minorHAnsi"/>
          <w:color w:val="000000" w:themeColor="text1"/>
          <w:lang w:val="en-US"/>
        </w:rPr>
        <w:footnoteReference w:id="8"/>
      </w:r>
      <w:r w:rsidR="000C3949" w:rsidRPr="000C3949">
        <w:rPr>
          <w:rFonts w:asciiTheme="minorHAnsi" w:hAnsiTheme="minorHAnsi" w:cstheme="minorHAnsi"/>
          <w:color w:val="000000" w:themeColor="text1"/>
          <w:lang w:val="en-US"/>
        </w:rPr>
        <w:t xml:space="preserve"> and </w:t>
      </w:r>
      <w:r w:rsidR="000F0190">
        <w:rPr>
          <w:rFonts w:asciiTheme="minorHAnsi" w:hAnsiTheme="minorHAnsi" w:cstheme="minorHAnsi"/>
          <w:color w:val="000000" w:themeColor="text1"/>
          <w:lang w:val="en-US"/>
        </w:rPr>
        <w:t>respecting</w:t>
      </w:r>
      <w:r w:rsidR="000C3949" w:rsidRPr="000C3949">
        <w:rPr>
          <w:rFonts w:asciiTheme="minorHAnsi" w:hAnsiTheme="minorHAnsi" w:cstheme="minorHAnsi"/>
          <w:color w:val="000000" w:themeColor="text1"/>
          <w:lang w:val="en-US"/>
        </w:rPr>
        <w:t xml:space="preserve"> the </w:t>
      </w:r>
      <w:r w:rsidR="000C3949" w:rsidRPr="000C3949">
        <w:rPr>
          <w:rFonts w:asciiTheme="minorHAnsi" w:hAnsiTheme="minorHAnsi" w:cstheme="minorHAnsi"/>
          <w:i/>
          <w:iCs/>
          <w:color w:val="000000" w:themeColor="text1"/>
          <w:lang w:val="en-US"/>
        </w:rPr>
        <w:t>res judicata</w:t>
      </w:r>
      <w:r w:rsidR="000C3949" w:rsidRPr="000C3949">
        <w:rPr>
          <w:rFonts w:asciiTheme="minorHAnsi" w:hAnsiTheme="minorHAnsi" w:cstheme="minorHAnsi"/>
          <w:color w:val="000000" w:themeColor="text1"/>
          <w:lang w:val="en-US"/>
        </w:rPr>
        <w:t xml:space="preserve"> of </w:t>
      </w:r>
      <w:r w:rsidR="00F92646">
        <w:rPr>
          <w:rFonts w:asciiTheme="minorHAnsi" w:hAnsiTheme="minorHAnsi" w:cstheme="minorHAnsi"/>
          <w:color w:val="000000" w:themeColor="text1"/>
          <w:lang w:val="en-US"/>
        </w:rPr>
        <w:t>the</w:t>
      </w:r>
      <w:r w:rsidR="000C3949" w:rsidRPr="000C3949">
        <w:rPr>
          <w:rFonts w:asciiTheme="minorHAnsi" w:hAnsiTheme="minorHAnsi" w:cstheme="minorHAnsi"/>
          <w:color w:val="000000" w:themeColor="text1"/>
          <w:lang w:val="en-US"/>
        </w:rPr>
        <w:t xml:space="preserve"> final judgment.</w:t>
      </w:r>
      <w:r w:rsidR="000C3949" w:rsidRPr="00533D7F">
        <w:rPr>
          <w:rStyle w:val="Appelnotedebasdep"/>
          <w:rFonts w:asciiTheme="minorHAnsi" w:hAnsiTheme="minorHAnsi" w:cstheme="minorHAnsi"/>
          <w:color w:val="000000" w:themeColor="text1"/>
          <w:lang w:val="en-US"/>
        </w:rPr>
        <w:footnoteReference w:id="9"/>
      </w:r>
      <w:r w:rsidR="000C3949">
        <w:rPr>
          <w:rFonts w:asciiTheme="minorHAnsi" w:hAnsiTheme="minorHAnsi" w:cstheme="minorHAnsi"/>
          <w:color w:val="000000" w:themeColor="text1"/>
          <w:lang w:val="en-US"/>
        </w:rPr>
        <w:t xml:space="preserve"> Other examples include </w:t>
      </w:r>
      <w:r w:rsidR="00136A53">
        <w:rPr>
          <w:rFonts w:asciiTheme="minorHAnsi" w:hAnsiTheme="minorHAnsi" w:cstheme="minorHAnsi"/>
          <w:color w:val="000000" w:themeColor="text1"/>
          <w:lang w:val="en-US"/>
        </w:rPr>
        <w:t>t</w:t>
      </w:r>
      <w:r w:rsidR="00136A53" w:rsidRPr="00533D7F">
        <w:rPr>
          <w:rFonts w:asciiTheme="minorHAnsi" w:hAnsiTheme="minorHAnsi" w:cstheme="minorHAnsi"/>
          <w:color w:val="000000" w:themeColor="text1"/>
          <w:lang w:val="en-US"/>
        </w:rPr>
        <w:t xml:space="preserve">he rule of specialty, enshrined in </w:t>
      </w:r>
      <w:r w:rsidR="00447CB5">
        <w:rPr>
          <w:rFonts w:asciiTheme="minorHAnsi" w:hAnsiTheme="minorHAnsi" w:cstheme="minorHAnsi"/>
          <w:color w:val="000000" w:themeColor="text1"/>
          <w:lang w:val="en-US"/>
        </w:rPr>
        <w:t>A</w:t>
      </w:r>
      <w:r w:rsidR="00136A53" w:rsidRPr="00533D7F">
        <w:rPr>
          <w:rFonts w:asciiTheme="minorHAnsi" w:hAnsiTheme="minorHAnsi" w:cstheme="minorHAnsi"/>
          <w:color w:val="000000" w:themeColor="text1"/>
          <w:lang w:val="en-US"/>
        </w:rPr>
        <w:t>rticle 14 of the Convention on Extradition,</w:t>
      </w:r>
      <w:r w:rsidR="000C3949">
        <w:rPr>
          <w:rFonts w:asciiTheme="minorHAnsi" w:hAnsiTheme="minorHAnsi" w:cstheme="minorHAnsi"/>
          <w:color w:val="000000" w:themeColor="text1"/>
          <w:lang w:val="en-US"/>
        </w:rPr>
        <w:t xml:space="preserve"> </w:t>
      </w:r>
      <w:r w:rsidR="00FD635C">
        <w:rPr>
          <w:rFonts w:asciiTheme="minorHAnsi" w:hAnsiTheme="minorHAnsi" w:cstheme="minorHAnsi"/>
          <w:color w:val="000000" w:themeColor="text1"/>
          <w:lang w:val="en-US"/>
        </w:rPr>
        <w:t xml:space="preserve">and </w:t>
      </w:r>
      <w:r w:rsidR="00136A53" w:rsidRPr="00533D7F">
        <w:rPr>
          <w:rFonts w:asciiTheme="minorHAnsi" w:hAnsiTheme="minorHAnsi" w:cstheme="minorHAnsi"/>
          <w:color w:val="000000" w:themeColor="text1"/>
          <w:lang w:val="en-US"/>
        </w:rPr>
        <w:t xml:space="preserve">the prohibition to extradite someone in </w:t>
      </w:r>
      <w:r w:rsidR="000F0190">
        <w:rPr>
          <w:rFonts w:asciiTheme="minorHAnsi" w:hAnsiTheme="minorHAnsi" w:cstheme="minorHAnsi"/>
          <w:color w:val="000000" w:themeColor="text1"/>
          <w:lang w:val="en-US"/>
        </w:rPr>
        <w:t xml:space="preserve">the </w:t>
      </w:r>
      <w:r w:rsidR="00136A53" w:rsidRPr="00533D7F">
        <w:rPr>
          <w:rFonts w:asciiTheme="minorHAnsi" w:hAnsiTheme="minorHAnsi" w:cstheme="minorHAnsi"/>
          <w:color w:val="000000" w:themeColor="text1"/>
          <w:lang w:val="en-US"/>
        </w:rPr>
        <w:t xml:space="preserve">case of capital punishment, protected by </w:t>
      </w:r>
      <w:r w:rsidR="00447CB5">
        <w:rPr>
          <w:rFonts w:asciiTheme="minorHAnsi" w:hAnsiTheme="minorHAnsi" w:cstheme="minorHAnsi"/>
          <w:color w:val="000000" w:themeColor="text1"/>
          <w:lang w:val="en-US"/>
        </w:rPr>
        <w:t>A</w:t>
      </w:r>
      <w:r w:rsidR="00136A53" w:rsidRPr="00533D7F">
        <w:rPr>
          <w:rFonts w:asciiTheme="minorHAnsi" w:hAnsiTheme="minorHAnsi" w:cstheme="minorHAnsi"/>
          <w:color w:val="000000" w:themeColor="text1"/>
          <w:lang w:val="en-US"/>
        </w:rPr>
        <w:t>rticle 11.</w:t>
      </w:r>
      <w:r w:rsidR="001D5A90">
        <w:rPr>
          <w:rFonts w:asciiTheme="minorHAnsi" w:hAnsiTheme="minorHAnsi" w:cstheme="minorHAnsi"/>
          <w:color w:val="000000" w:themeColor="text1"/>
          <w:lang w:val="en-US"/>
        </w:rPr>
        <w:t xml:space="preserve"> L</w:t>
      </w:r>
      <w:r w:rsidR="00136A53" w:rsidRPr="00533D7F">
        <w:rPr>
          <w:rFonts w:asciiTheme="minorHAnsi" w:hAnsiTheme="minorHAnsi" w:cstheme="minorHAnsi"/>
          <w:color w:val="000000" w:themeColor="text1"/>
          <w:lang w:val="en-US"/>
        </w:rPr>
        <w:t xml:space="preserve">ast but not least, </w:t>
      </w:r>
      <w:r w:rsidR="00447CB5">
        <w:rPr>
          <w:rFonts w:asciiTheme="minorHAnsi" w:hAnsiTheme="minorHAnsi" w:cstheme="minorHAnsi"/>
          <w:color w:val="000000" w:themeColor="text1"/>
          <w:lang w:val="en-US"/>
        </w:rPr>
        <w:t>A</w:t>
      </w:r>
      <w:r w:rsidR="00136A53" w:rsidRPr="00533D7F">
        <w:rPr>
          <w:rFonts w:asciiTheme="minorHAnsi" w:hAnsiTheme="minorHAnsi" w:cstheme="minorHAnsi"/>
          <w:color w:val="000000" w:themeColor="text1"/>
          <w:lang w:val="en-US"/>
        </w:rPr>
        <w:t>rticle 3 of the Convention hits two birds with one stone, as it includes both a political offence exception clause (</w:t>
      </w:r>
      <w:r w:rsidR="00447CB5">
        <w:rPr>
          <w:rFonts w:asciiTheme="minorHAnsi" w:hAnsiTheme="minorHAnsi" w:cstheme="minorHAnsi"/>
          <w:color w:val="000000" w:themeColor="text1"/>
          <w:lang w:val="en-US"/>
        </w:rPr>
        <w:t>A</w:t>
      </w:r>
      <w:r w:rsidR="00136A53" w:rsidRPr="00533D7F">
        <w:rPr>
          <w:rFonts w:asciiTheme="minorHAnsi" w:hAnsiTheme="minorHAnsi" w:cstheme="minorHAnsi"/>
          <w:color w:val="000000" w:themeColor="text1"/>
          <w:lang w:val="en-US"/>
        </w:rPr>
        <w:t xml:space="preserve">rt.3§1) </w:t>
      </w:r>
      <w:r w:rsidR="00136A53">
        <w:rPr>
          <w:rFonts w:asciiTheme="minorHAnsi" w:hAnsiTheme="minorHAnsi" w:cstheme="minorHAnsi"/>
          <w:color w:val="000000" w:themeColor="text1"/>
          <w:lang w:val="en-US"/>
        </w:rPr>
        <w:t xml:space="preserve">and </w:t>
      </w:r>
      <w:r w:rsidR="00136A53" w:rsidRPr="00533D7F">
        <w:rPr>
          <w:rFonts w:asciiTheme="minorHAnsi" w:hAnsiTheme="minorHAnsi" w:cstheme="minorHAnsi"/>
          <w:color w:val="000000" w:themeColor="text1"/>
          <w:lang w:val="en-US"/>
        </w:rPr>
        <w:t>a discrimination clause (</w:t>
      </w:r>
      <w:r w:rsidR="00447CB5">
        <w:rPr>
          <w:rFonts w:asciiTheme="minorHAnsi" w:hAnsiTheme="minorHAnsi" w:cstheme="minorHAnsi"/>
          <w:color w:val="000000" w:themeColor="text1"/>
          <w:lang w:val="en-US"/>
        </w:rPr>
        <w:t>A</w:t>
      </w:r>
      <w:r w:rsidR="00136A53" w:rsidRPr="00533D7F">
        <w:rPr>
          <w:rFonts w:asciiTheme="minorHAnsi" w:hAnsiTheme="minorHAnsi" w:cstheme="minorHAnsi"/>
          <w:color w:val="000000" w:themeColor="text1"/>
          <w:lang w:val="en-US"/>
        </w:rPr>
        <w:t>rt.3§2):</w:t>
      </w:r>
    </w:p>
    <w:p w14:paraId="4038B6F0" w14:textId="77777777" w:rsidR="00136A53" w:rsidRPr="00D54D8D" w:rsidRDefault="00136A53" w:rsidP="00136A53">
      <w:pPr>
        <w:pStyle w:val="NormalWeb"/>
        <w:numPr>
          <w:ilvl w:val="0"/>
          <w:numId w:val="4"/>
        </w:numPr>
        <w:jc w:val="both"/>
        <w:rPr>
          <w:rFonts w:asciiTheme="minorHAnsi" w:hAnsiTheme="minorHAnsi"/>
          <w:i/>
          <w:lang w:val="en-US"/>
        </w:rPr>
      </w:pPr>
      <w:r w:rsidRPr="00D54D8D">
        <w:rPr>
          <w:rFonts w:asciiTheme="minorHAnsi" w:hAnsiTheme="minorHAnsi"/>
          <w:i/>
          <w:lang w:val="en-US"/>
        </w:rPr>
        <w:t xml:space="preserve">Extradition shall not be granted if the offence in respect of which it is requested is regarded by the requested Party as a political offence or as an offence connected with a political offence. </w:t>
      </w:r>
    </w:p>
    <w:p w14:paraId="5ACEE2E3" w14:textId="77777777" w:rsidR="00136A53" w:rsidRPr="00533D7F" w:rsidRDefault="00136A53" w:rsidP="00136A53">
      <w:pPr>
        <w:pStyle w:val="NormalWeb"/>
        <w:numPr>
          <w:ilvl w:val="0"/>
          <w:numId w:val="4"/>
        </w:numPr>
        <w:jc w:val="both"/>
        <w:rPr>
          <w:rFonts w:asciiTheme="minorHAnsi" w:hAnsiTheme="minorHAnsi" w:cstheme="minorHAnsi"/>
          <w:lang w:val="en-US"/>
        </w:rPr>
      </w:pPr>
      <w:r w:rsidRPr="00D54D8D">
        <w:rPr>
          <w:rFonts w:asciiTheme="minorHAnsi" w:hAnsiTheme="minorHAnsi"/>
          <w:i/>
          <w:lang w:val="en-US"/>
        </w:rPr>
        <w:t xml:space="preserve">The same rule shall apply if the requested Party has substantial grounds for believing that a request for extradition for an ordinary criminal offence has been made for the purpose of prosecuting or punishing a person on account of his race, religion, nationality or political opinion, or that that person's position may be prejudiced for any of these reasons. </w:t>
      </w:r>
    </w:p>
    <w:p w14:paraId="4AADDDF0" w14:textId="10FE6620" w:rsidR="000C3949" w:rsidRDefault="000C3949" w:rsidP="000C3949">
      <w:pPr>
        <w:jc w:val="both"/>
        <w:rPr>
          <w:rFonts w:asciiTheme="minorHAnsi" w:hAnsiTheme="minorHAnsi" w:cstheme="minorHAnsi"/>
          <w:color w:val="000000" w:themeColor="text1"/>
          <w:lang w:val="en-US"/>
        </w:rPr>
      </w:pPr>
      <w:r>
        <w:rPr>
          <w:rFonts w:asciiTheme="minorHAnsi" w:hAnsiTheme="minorHAnsi" w:cstheme="minorHAnsi"/>
          <w:lang w:val="en-US"/>
        </w:rPr>
        <w:lastRenderedPageBreak/>
        <w:t xml:space="preserve">These principles can be indirectly connected to </w:t>
      </w:r>
      <w:r w:rsidR="000F0190">
        <w:rPr>
          <w:rFonts w:asciiTheme="minorHAnsi" w:hAnsiTheme="minorHAnsi" w:cstheme="minorHAnsi"/>
          <w:lang w:val="en-US"/>
        </w:rPr>
        <w:t>the</w:t>
      </w:r>
      <w:r>
        <w:rPr>
          <w:rFonts w:asciiTheme="minorHAnsi" w:hAnsiTheme="minorHAnsi" w:cstheme="minorHAnsi"/>
          <w:lang w:val="en-US"/>
        </w:rPr>
        <w:t xml:space="preserve"> protection of fundamental rights, such as the right to</w:t>
      </w:r>
      <w:r w:rsidR="006C10E9">
        <w:rPr>
          <w:rFonts w:asciiTheme="minorHAnsi" w:hAnsiTheme="minorHAnsi" w:cstheme="minorHAnsi"/>
          <w:lang w:val="en-US"/>
        </w:rPr>
        <w:t xml:space="preserve"> a fair trial</w:t>
      </w:r>
      <w:r>
        <w:rPr>
          <w:rFonts w:asciiTheme="minorHAnsi" w:hAnsiTheme="minorHAnsi" w:cstheme="minorHAnsi"/>
          <w:lang w:val="en-US"/>
        </w:rPr>
        <w:t xml:space="preserve"> when it comes to non</w:t>
      </w:r>
      <w:r w:rsidR="00D87274">
        <w:rPr>
          <w:rFonts w:asciiTheme="minorHAnsi" w:hAnsiTheme="minorHAnsi" w:cstheme="minorHAnsi"/>
          <w:lang w:val="en-US"/>
        </w:rPr>
        <w:t>-</w:t>
      </w:r>
      <w:r>
        <w:rPr>
          <w:rFonts w:asciiTheme="minorHAnsi" w:hAnsiTheme="minorHAnsi" w:cstheme="minorHAnsi"/>
          <w:lang w:val="en-US"/>
        </w:rPr>
        <w:t xml:space="preserve">extradition in the event of capital punishment. However, </w:t>
      </w:r>
      <w:r w:rsidR="00D87274">
        <w:rPr>
          <w:rFonts w:asciiTheme="minorHAnsi" w:hAnsiTheme="minorHAnsi" w:cstheme="minorHAnsi"/>
          <w:lang w:val="en-US"/>
        </w:rPr>
        <w:t xml:space="preserve">only </w:t>
      </w:r>
      <w:r w:rsidRPr="000C3949">
        <w:rPr>
          <w:rFonts w:asciiTheme="minorHAnsi" w:hAnsiTheme="minorHAnsi" w:cstheme="minorHAnsi"/>
          <w:lang w:val="en-US"/>
        </w:rPr>
        <w:t xml:space="preserve">the </w:t>
      </w:r>
      <w:r w:rsidRPr="000C3949">
        <w:rPr>
          <w:rFonts w:asciiTheme="minorHAnsi" w:hAnsiTheme="minorHAnsi" w:cstheme="minorHAnsi"/>
          <w:i/>
          <w:iCs/>
          <w:lang w:val="en-US"/>
        </w:rPr>
        <w:t>ne bis in idem</w:t>
      </w:r>
      <w:r w:rsidRPr="000C3949">
        <w:rPr>
          <w:rFonts w:asciiTheme="minorHAnsi" w:hAnsiTheme="minorHAnsi" w:cstheme="minorHAnsi"/>
          <w:lang w:val="en-US"/>
        </w:rPr>
        <w:t xml:space="preserve"> principle</w:t>
      </w:r>
      <w:r w:rsidR="00D87274">
        <w:rPr>
          <w:rFonts w:asciiTheme="minorHAnsi" w:hAnsiTheme="minorHAnsi" w:cstheme="minorHAnsi"/>
          <w:lang w:val="en-US"/>
        </w:rPr>
        <w:t xml:space="preserve"> has explicitly been </w:t>
      </w:r>
      <w:r>
        <w:rPr>
          <w:rFonts w:asciiTheme="minorHAnsi" w:hAnsiTheme="minorHAnsi" w:cstheme="minorHAnsi"/>
          <w:lang w:val="en-US"/>
        </w:rPr>
        <w:t xml:space="preserve">elevated to the status of </w:t>
      </w:r>
      <w:r w:rsidR="000F0190">
        <w:rPr>
          <w:rFonts w:asciiTheme="minorHAnsi" w:hAnsiTheme="minorHAnsi" w:cstheme="minorHAnsi"/>
          <w:lang w:val="en-US"/>
        </w:rPr>
        <w:t xml:space="preserve">being a </w:t>
      </w:r>
      <w:r>
        <w:rPr>
          <w:rFonts w:asciiTheme="minorHAnsi" w:hAnsiTheme="minorHAnsi" w:cstheme="minorHAnsi"/>
          <w:lang w:val="en-US"/>
        </w:rPr>
        <w:t>fundamental right</w:t>
      </w:r>
      <w:r w:rsidRPr="000C3949">
        <w:rPr>
          <w:rFonts w:asciiTheme="minorHAnsi" w:hAnsiTheme="minorHAnsi" w:cstheme="minorHAnsi"/>
          <w:lang w:val="en-US"/>
        </w:rPr>
        <w:t>.</w:t>
      </w:r>
      <w:r w:rsidRPr="000C3949">
        <w:rPr>
          <w:rFonts w:asciiTheme="minorHAnsi" w:hAnsiTheme="minorHAnsi" w:cstheme="minorHAnsi"/>
          <w:color w:val="000000" w:themeColor="text1"/>
          <w:lang w:val="en-US"/>
        </w:rPr>
        <w:t xml:space="preserve"> Although the initial text of the European Convention on Human Rights did not actually foresee anything regarding the </w:t>
      </w:r>
      <w:r w:rsidRPr="000C3949">
        <w:rPr>
          <w:rFonts w:asciiTheme="minorHAnsi" w:hAnsiTheme="minorHAnsi" w:cstheme="minorHAnsi"/>
          <w:i/>
          <w:iCs/>
          <w:color w:val="000000" w:themeColor="text1"/>
          <w:lang w:val="en-US"/>
        </w:rPr>
        <w:t>ne bis in idem</w:t>
      </w:r>
      <w:r w:rsidRPr="000C3949">
        <w:rPr>
          <w:rFonts w:asciiTheme="minorHAnsi" w:hAnsiTheme="minorHAnsi" w:cstheme="minorHAnsi"/>
          <w:color w:val="000000" w:themeColor="text1"/>
          <w:lang w:val="en-US"/>
        </w:rPr>
        <w:t xml:space="preserve"> principle, its </w:t>
      </w:r>
      <w:r w:rsidR="001576A8">
        <w:rPr>
          <w:rFonts w:asciiTheme="minorHAnsi" w:hAnsiTheme="minorHAnsi" w:cstheme="minorHAnsi"/>
          <w:color w:val="000000" w:themeColor="text1"/>
          <w:lang w:val="en-US"/>
        </w:rPr>
        <w:t xml:space="preserve">1984 </w:t>
      </w:r>
      <w:r w:rsidRPr="000C3949">
        <w:rPr>
          <w:rFonts w:asciiTheme="minorHAnsi" w:hAnsiTheme="minorHAnsi" w:cstheme="minorHAnsi"/>
          <w:color w:val="000000" w:themeColor="text1"/>
          <w:lang w:val="en-US"/>
        </w:rPr>
        <w:t>Protocol 7 did; the latter included a right not to be tried or punished twice.</w:t>
      </w:r>
      <w:r w:rsidRPr="00533D7F">
        <w:rPr>
          <w:rStyle w:val="Appelnotedebasdep"/>
          <w:rFonts w:asciiTheme="minorHAnsi" w:hAnsiTheme="minorHAnsi" w:cstheme="minorHAnsi"/>
          <w:color w:val="000000" w:themeColor="text1"/>
          <w:lang w:val="en-US"/>
        </w:rPr>
        <w:footnoteReference w:id="10"/>
      </w:r>
      <w:r w:rsidRPr="000C3949">
        <w:rPr>
          <w:rFonts w:asciiTheme="minorHAnsi" w:hAnsiTheme="minorHAnsi" w:cstheme="minorHAnsi"/>
          <w:color w:val="000000" w:themeColor="text1"/>
          <w:lang w:val="en-US"/>
        </w:rPr>
        <w:t xml:space="preserve"> </w:t>
      </w:r>
      <w:r w:rsidR="007114FD" w:rsidRPr="00533D7F">
        <w:rPr>
          <w:rFonts w:asciiTheme="minorHAnsi" w:hAnsiTheme="minorHAnsi" w:cstheme="minorHAnsi"/>
          <w:color w:val="000000" w:themeColor="text1"/>
          <w:lang w:val="en-US"/>
        </w:rPr>
        <w:t xml:space="preserve">This principle is traditionally and mostly applied at </w:t>
      </w:r>
      <w:r w:rsidR="00CC757A">
        <w:rPr>
          <w:rFonts w:asciiTheme="minorHAnsi" w:hAnsiTheme="minorHAnsi" w:cstheme="minorHAnsi"/>
          <w:color w:val="000000" w:themeColor="text1"/>
          <w:lang w:val="en-US"/>
        </w:rPr>
        <w:t xml:space="preserve">the </w:t>
      </w:r>
      <w:r w:rsidR="007114FD" w:rsidRPr="00533D7F">
        <w:rPr>
          <w:rFonts w:asciiTheme="minorHAnsi" w:hAnsiTheme="minorHAnsi" w:cstheme="minorHAnsi"/>
          <w:color w:val="000000" w:themeColor="text1"/>
          <w:lang w:val="en-US"/>
        </w:rPr>
        <w:t xml:space="preserve">national level, but not without complications, however, as the question of how to understand both the </w:t>
      </w:r>
      <w:r w:rsidR="007114FD" w:rsidRPr="00533D7F">
        <w:rPr>
          <w:rFonts w:asciiTheme="minorHAnsi" w:hAnsiTheme="minorHAnsi" w:cstheme="minorHAnsi"/>
          <w:i/>
          <w:iCs/>
          <w:color w:val="000000" w:themeColor="text1"/>
          <w:lang w:val="en-US"/>
        </w:rPr>
        <w:t>bis</w:t>
      </w:r>
      <w:r w:rsidR="007114FD" w:rsidRPr="00533D7F">
        <w:rPr>
          <w:rFonts w:asciiTheme="minorHAnsi" w:hAnsiTheme="minorHAnsi" w:cstheme="minorHAnsi"/>
          <w:color w:val="000000" w:themeColor="text1"/>
          <w:lang w:val="en-US"/>
        </w:rPr>
        <w:t xml:space="preserve"> and </w:t>
      </w:r>
      <w:r w:rsidR="007114FD" w:rsidRPr="00533D7F">
        <w:rPr>
          <w:rFonts w:asciiTheme="minorHAnsi" w:hAnsiTheme="minorHAnsi" w:cstheme="minorHAnsi"/>
          <w:i/>
          <w:iCs/>
          <w:color w:val="000000" w:themeColor="text1"/>
          <w:lang w:val="en-US"/>
        </w:rPr>
        <w:t>idem</w:t>
      </w:r>
      <w:r w:rsidR="007114FD" w:rsidRPr="00533D7F">
        <w:rPr>
          <w:rFonts w:asciiTheme="minorHAnsi" w:hAnsiTheme="minorHAnsi" w:cstheme="minorHAnsi"/>
          <w:color w:val="000000" w:themeColor="text1"/>
          <w:lang w:val="en-US"/>
        </w:rPr>
        <w:t xml:space="preserve"> parts of the clause continues to torment judges. The European Court of Human Rights provided guidance on how to apprehend them</w:t>
      </w:r>
      <w:r w:rsidR="000F0190">
        <w:rPr>
          <w:rFonts w:asciiTheme="minorHAnsi" w:hAnsiTheme="minorHAnsi" w:cstheme="minorHAnsi"/>
          <w:color w:val="000000" w:themeColor="text1"/>
          <w:lang w:val="en-US"/>
        </w:rPr>
        <w:t>,</w:t>
      </w:r>
      <w:r w:rsidR="007114FD" w:rsidRPr="00533D7F">
        <w:rPr>
          <w:rFonts w:asciiTheme="minorHAnsi" w:hAnsiTheme="minorHAnsi" w:cstheme="minorHAnsi"/>
          <w:color w:val="000000" w:themeColor="text1"/>
          <w:lang w:val="en-US"/>
        </w:rPr>
        <w:t xml:space="preserve"> as well as the general scope of the principle</w:t>
      </w:r>
      <w:r w:rsidR="007114FD" w:rsidRPr="00533D7F">
        <w:rPr>
          <w:rStyle w:val="Appelnotedebasdep"/>
          <w:rFonts w:asciiTheme="minorHAnsi" w:hAnsiTheme="minorHAnsi" w:cstheme="minorHAnsi"/>
          <w:color w:val="000000" w:themeColor="text1"/>
          <w:lang w:val="en-US"/>
        </w:rPr>
        <w:footnoteReference w:id="11"/>
      </w:r>
      <w:r w:rsidR="007114FD" w:rsidRPr="00533D7F">
        <w:rPr>
          <w:rFonts w:asciiTheme="minorHAnsi" w:hAnsiTheme="minorHAnsi" w:cstheme="minorHAnsi"/>
          <w:color w:val="000000" w:themeColor="text1"/>
          <w:lang w:val="en-US"/>
        </w:rPr>
        <w:t xml:space="preserve"> so as to facilitate its domestic application and </w:t>
      </w:r>
      <w:proofErr w:type="spellStart"/>
      <w:r w:rsidR="007114FD" w:rsidRPr="00533D7F">
        <w:rPr>
          <w:rFonts w:asciiTheme="minorHAnsi" w:hAnsiTheme="minorHAnsi" w:cstheme="minorHAnsi"/>
          <w:color w:val="000000" w:themeColor="text1"/>
          <w:lang w:val="en-US"/>
        </w:rPr>
        <w:t>harmonise</w:t>
      </w:r>
      <w:proofErr w:type="spellEnd"/>
      <w:r w:rsidR="007114FD" w:rsidRPr="00533D7F">
        <w:rPr>
          <w:rFonts w:asciiTheme="minorHAnsi" w:hAnsiTheme="minorHAnsi" w:cstheme="minorHAnsi"/>
          <w:color w:val="000000" w:themeColor="text1"/>
          <w:lang w:val="en-US"/>
        </w:rPr>
        <w:t xml:space="preserve"> its understanding as much as possible</w:t>
      </w:r>
      <w:r w:rsidR="007114FD">
        <w:rPr>
          <w:rFonts w:asciiTheme="minorHAnsi" w:hAnsiTheme="minorHAnsi" w:cstheme="minorHAnsi"/>
          <w:color w:val="000000" w:themeColor="text1"/>
          <w:lang w:val="en-US"/>
        </w:rPr>
        <w:t xml:space="preserve">. </w:t>
      </w:r>
      <w:r w:rsidR="00CC44E2">
        <w:rPr>
          <w:rFonts w:asciiTheme="minorHAnsi" w:hAnsiTheme="minorHAnsi" w:cstheme="minorHAnsi"/>
          <w:color w:val="000000" w:themeColor="text1"/>
          <w:lang w:val="en-US"/>
        </w:rPr>
        <w:t>The</w:t>
      </w:r>
      <w:r w:rsidRPr="000C3949">
        <w:rPr>
          <w:rFonts w:asciiTheme="minorHAnsi" w:hAnsiTheme="minorHAnsi" w:cstheme="minorHAnsi"/>
          <w:color w:val="000000" w:themeColor="text1"/>
          <w:lang w:val="en-US"/>
        </w:rPr>
        <w:t xml:space="preserve"> ratification rate of the Protocol</w:t>
      </w:r>
      <w:r w:rsidR="007114FD">
        <w:rPr>
          <w:rFonts w:asciiTheme="minorHAnsi" w:hAnsiTheme="minorHAnsi" w:cstheme="minorHAnsi"/>
          <w:color w:val="000000" w:themeColor="text1"/>
          <w:lang w:val="en-US"/>
        </w:rPr>
        <w:t xml:space="preserve"> </w:t>
      </w:r>
      <w:r w:rsidR="00CC44E2">
        <w:rPr>
          <w:rFonts w:asciiTheme="minorHAnsi" w:hAnsiTheme="minorHAnsi" w:cstheme="minorHAnsi"/>
          <w:color w:val="000000" w:themeColor="text1"/>
          <w:lang w:val="en-US"/>
        </w:rPr>
        <w:t>being</w:t>
      </w:r>
      <w:r w:rsidRPr="000C3949">
        <w:rPr>
          <w:rFonts w:asciiTheme="minorHAnsi" w:hAnsiTheme="minorHAnsi" w:cstheme="minorHAnsi"/>
          <w:color w:val="000000" w:themeColor="text1"/>
          <w:lang w:val="en-US"/>
        </w:rPr>
        <w:t xml:space="preserve"> shockingly low</w:t>
      </w:r>
      <w:r w:rsidR="00CC44E2">
        <w:rPr>
          <w:rFonts w:asciiTheme="minorHAnsi" w:hAnsiTheme="minorHAnsi" w:cstheme="minorHAnsi"/>
          <w:color w:val="000000" w:themeColor="text1"/>
          <w:lang w:val="en-US"/>
        </w:rPr>
        <w:t>,</w:t>
      </w:r>
      <w:r w:rsidR="00637568">
        <w:rPr>
          <w:rFonts w:asciiTheme="minorHAnsi" w:hAnsiTheme="minorHAnsi" w:cstheme="minorHAnsi"/>
          <w:color w:val="000000" w:themeColor="text1"/>
          <w:lang w:val="en-US"/>
        </w:rPr>
        <w:t xml:space="preserve"> </w:t>
      </w:r>
      <w:r w:rsidR="008B6974">
        <w:rPr>
          <w:rFonts w:asciiTheme="minorHAnsi" w:hAnsiTheme="minorHAnsi" w:cstheme="minorHAnsi"/>
          <w:color w:val="000000" w:themeColor="text1"/>
          <w:lang w:val="en-US"/>
        </w:rPr>
        <w:t xml:space="preserve">however, </w:t>
      </w:r>
      <w:r w:rsidR="00637568">
        <w:rPr>
          <w:rFonts w:asciiTheme="minorHAnsi" w:hAnsiTheme="minorHAnsi" w:cstheme="minorHAnsi"/>
          <w:color w:val="000000" w:themeColor="text1"/>
          <w:lang w:val="en-US"/>
        </w:rPr>
        <w:t xml:space="preserve">this principle is </w:t>
      </w:r>
      <w:r w:rsidR="00D86BA4">
        <w:rPr>
          <w:rFonts w:asciiTheme="minorHAnsi" w:hAnsiTheme="minorHAnsi" w:cstheme="minorHAnsi"/>
          <w:color w:val="000000" w:themeColor="text1"/>
          <w:lang w:val="en-US"/>
        </w:rPr>
        <w:t xml:space="preserve">in fact </w:t>
      </w:r>
      <w:r w:rsidR="00637568">
        <w:rPr>
          <w:rFonts w:asciiTheme="minorHAnsi" w:hAnsiTheme="minorHAnsi" w:cstheme="minorHAnsi"/>
          <w:color w:val="000000" w:themeColor="text1"/>
          <w:lang w:val="en-US"/>
        </w:rPr>
        <w:t xml:space="preserve">not so much protected by the ECHR </w:t>
      </w:r>
      <w:r w:rsidR="00A3182F">
        <w:rPr>
          <w:rFonts w:asciiTheme="minorHAnsi" w:hAnsiTheme="minorHAnsi" w:cstheme="minorHAnsi"/>
          <w:color w:val="000000" w:themeColor="text1"/>
          <w:lang w:val="en-US"/>
        </w:rPr>
        <w:t>as</w:t>
      </w:r>
      <w:r w:rsidR="00637568">
        <w:rPr>
          <w:rFonts w:asciiTheme="minorHAnsi" w:hAnsiTheme="minorHAnsi" w:cstheme="minorHAnsi"/>
          <w:color w:val="000000" w:themeColor="text1"/>
          <w:lang w:val="en-US"/>
        </w:rPr>
        <w:t xml:space="preserve"> it </w:t>
      </w:r>
      <w:r w:rsidR="003A351E">
        <w:rPr>
          <w:rFonts w:asciiTheme="minorHAnsi" w:hAnsiTheme="minorHAnsi" w:cstheme="minorHAnsi"/>
          <w:color w:val="000000" w:themeColor="text1"/>
          <w:lang w:val="en-US"/>
        </w:rPr>
        <w:t xml:space="preserve">is </w:t>
      </w:r>
      <w:r w:rsidR="00637568">
        <w:rPr>
          <w:rFonts w:asciiTheme="minorHAnsi" w:hAnsiTheme="minorHAnsi" w:cstheme="minorHAnsi"/>
          <w:color w:val="000000" w:themeColor="text1"/>
          <w:lang w:val="en-US"/>
        </w:rPr>
        <w:t>by the European Convention on Extradition</w:t>
      </w:r>
      <w:r w:rsidR="00D87274">
        <w:rPr>
          <w:rFonts w:asciiTheme="minorHAnsi" w:hAnsiTheme="minorHAnsi" w:cstheme="minorHAnsi"/>
          <w:color w:val="000000" w:themeColor="text1"/>
          <w:lang w:val="en-US"/>
        </w:rPr>
        <w:t>.</w:t>
      </w:r>
      <w:r w:rsidRPr="0005013E">
        <w:rPr>
          <w:rStyle w:val="Appelnotedebasdep"/>
          <w:rFonts w:asciiTheme="minorHAnsi" w:hAnsiTheme="minorHAnsi" w:cstheme="minorHAnsi"/>
          <w:color w:val="000000" w:themeColor="text1"/>
          <w:lang w:val="en-US"/>
        </w:rPr>
        <w:footnoteReference w:id="12"/>
      </w:r>
    </w:p>
    <w:p w14:paraId="7E0BAEB8" w14:textId="77777777" w:rsidR="00F475F4" w:rsidRPr="007114FD" w:rsidRDefault="00F475F4" w:rsidP="000C3949">
      <w:pPr>
        <w:jc w:val="both"/>
        <w:rPr>
          <w:rFonts w:asciiTheme="minorHAnsi" w:hAnsiTheme="minorHAnsi" w:cstheme="minorHAnsi"/>
          <w:color w:val="000000" w:themeColor="text1"/>
          <w:lang w:val="en-US"/>
        </w:rPr>
      </w:pPr>
    </w:p>
    <w:p w14:paraId="1617031E" w14:textId="5B7F4FA7" w:rsidR="001576A8" w:rsidRPr="0032336B" w:rsidRDefault="000C3949" w:rsidP="00D87274">
      <w:pPr>
        <w:jc w:val="both"/>
        <w:rPr>
          <w:rFonts w:asciiTheme="minorHAnsi" w:hAnsiTheme="minorHAnsi" w:cstheme="minorHAnsi"/>
          <w:color w:val="000000" w:themeColor="text1"/>
          <w:lang w:val="en-US"/>
        </w:rPr>
      </w:pPr>
      <w:r w:rsidRPr="000C3949">
        <w:rPr>
          <w:rFonts w:asciiTheme="minorHAnsi" w:hAnsiTheme="minorHAnsi" w:cstheme="minorHAnsi"/>
          <w:color w:val="000000" w:themeColor="text1"/>
          <w:lang w:val="en-US"/>
        </w:rPr>
        <w:t xml:space="preserve">This is disappointing. One would have expected more </w:t>
      </w:r>
      <w:r w:rsidRPr="000C3949">
        <w:rPr>
          <w:rFonts w:asciiTheme="minorHAnsi" w:hAnsiTheme="minorHAnsi" w:cstheme="minorHAnsi"/>
          <w:lang w:val="en-US"/>
        </w:rPr>
        <w:t>fundamental protection for individuals caught in transnational litigation</w:t>
      </w:r>
      <w:r w:rsidR="00D92B08">
        <w:rPr>
          <w:rFonts w:asciiTheme="minorHAnsi" w:hAnsiTheme="minorHAnsi" w:cstheme="minorHAnsi"/>
          <w:lang w:val="en-US"/>
        </w:rPr>
        <w:t>s</w:t>
      </w:r>
      <w:r w:rsidRPr="000C3949">
        <w:rPr>
          <w:rFonts w:asciiTheme="minorHAnsi" w:hAnsiTheme="minorHAnsi" w:cstheme="minorHAnsi"/>
          <w:lang w:val="en-US"/>
        </w:rPr>
        <w:t xml:space="preserve"> than just a </w:t>
      </w:r>
      <w:r w:rsidRPr="000C3949">
        <w:rPr>
          <w:rFonts w:asciiTheme="minorHAnsi" w:hAnsiTheme="minorHAnsi" w:cstheme="minorHAnsi"/>
          <w:i/>
          <w:iCs/>
          <w:lang w:val="en-US"/>
        </w:rPr>
        <w:t>ne bis in idem</w:t>
      </w:r>
      <w:r w:rsidRPr="000C3949">
        <w:rPr>
          <w:rFonts w:asciiTheme="minorHAnsi" w:hAnsiTheme="minorHAnsi" w:cstheme="minorHAnsi"/>
          <w:lang w:val="en-US"/>
        </w:rPr>
        <w:t xml:space="preserve"> principle that is not even properly protected by the ECHR</w:t>
      </w:r>
      <w:r w:rsidRPr="000C3949">
        <w:rPr>
          <w:rFonts w:asciiTheme="minorHAnsi" w:hAnsiTheme="minorHAnsi" w:cstheme="minorHAnsi"/>
          <w:color w:val="000000" w:themeColor="text1"/>
          <w:lang w:val="en-US"/>
        </w:rPr>
        <w:t xml:space="preserve">. </w:t>
      </w:r>
      <w:r w:rsidR="006C6384" w:rsidRPr="00D87274">
        <w:rPr>
          <w:rFonts w:asciiTheme="minorHAnsi" w:hAnsiTheme="minorHAnsi" w:cstheme="minorHAnsi"/>
          <w:lang w:val="en-US"/>
        </w:rPr>
        <w:t xml:space="preserve">Current developments in Europe </w:t>
      </w:r>
      <w:r w:rsidR="00AA045C" w:rsidRPr="00D87274">
        <w:rPr>
          <w:rFonts w:asciiTheme="minorHAnsi" w:hAnsiTheme="minorHAnsi" w:cstheme="minorHAnsi"/>
          <w:lang w:val="en-US"/>
        </w:rPr>
        <w:t>call into question the reigning</w:t>
      </w:r>
      <w:r w:rsidR="006C6384" w:rsidRPr="00D87274">
        <w:rPr>
          <w:rFonts w:asciiTheme="minorHAnsi" w:hAnsiTheme="minorHAnsi" w:cstheme="minorHAnsi"/>
          <w:lang w:val="en-US"/>
        </w:rPr>
        <w:t xml:space="preserve"> optimism about progress in terms of </w:t>
      </w:r>
      <w:r w:rsidR="00545DEA">
        <w:rPr>
          <w:rFonts w:asciiTheme="minorHAnsi" w:hAnsiTheme="minorHAnsi" w:cstheme="minorHAnsi"/>
          <w:lang w:val="en-US"/>
        </w:rPr>
        <w:t xml:space="preserve">the </w:t>
      </w:r>
      <w:r w:rsidR="006C6384" w:rsidRPr="00D87274">
        <w:rPr>
          <w:rFonts w:asciiTheme="minorHAnsi" w:hAnsiTheme="minorHAnsi" w:cstheme="minorHAnsi"/>
          <w:lang w:val="en-US"/>
        </w:rPr>
        <w:t>rule of law, democracy and human rights</w:t>
      </w:r>
      <w:r w:rsidR="00BF2A6A">
        <w:rPr>
          <w:rFonts w:asciiTheme="minorHAnsi" w:hAnsiTheme="minorHAnsi" w:cstheme="minorHAnsi"/>
          <w:lang w:val="en-US"/>
        </w:rPr>
        <w:t>;</w:t>
      </w:r>
      <w:r w:rsidR="00D87274">
        <w:rPr>
          <w:rFonts w:asciiTheme="minorHAnsi" w:hAnsiTheme="minorHAnsi" w:cstheme="minorHAnsi"/>
          <w:lang w:val="en-US"/>
        </w:rPr>
        <w:t xml:space="preserve"> and</w:t>
      </w:r>
      <w:r w:rsidR="00D87274" w:rsidRPr="00D87274">
        <w:rPr>
          <w:rFonts w:asciiTheme="minorHAnsi" w:hAnsiTheme="minorHAnsi" w:cstheme="minorHAnsi"/>
          <w:lang w:val="en-US"/>
        </w:rPr>
        <w:t xml:space="preserve"> </w:t>
      </w:r>
      <w:proofErr w:type="gramStart"/>
      <w:r w:rsidR="00D87274">
        <w:rPr>
          <w:rFonts w:asciiTheme="minorHAnsi" w:hAnsiTheme="minorHAnsi" w:cstheme="minorHAnsi"/>
          <w:lang w:val="en-US"/>
        </w:rPr>
        <w:t>thus</w:t>
      </w:r>
      <w:proofErr w:type="gramEnd"/>
      <w:r w:rsidR="00D87274">
        <w:rPr>
          <w:rFonts w:asciiTheme="minorHAnsi" w:hAnsiTheme="minorHAnsi" w:cstheme="minorHAnsi"/>
          <w:lang w:val="en-US"/>
        </w:rPr>
        <w:t xml:space="preserve"> similarly </w:t>
      </w:r>
      <w:r w:rsidR="00B60F2F">
        <w:rPr>
          <w:rFonts w:asciiTheme="minorHAnsi" w:hAnsiTheme="minorHAnsi" w:cstheme="minorHAnsi"/>
          <w:lang w:val="en-US"/>
        </w:rPr>
        <w:t>cast doubt on</w:t>
      </w:r>
      <w:r w:rsidR="00D87274" w:rsidRPr="00D87274">
        <w:rPr>
          <w:rFonts w:asciiTheme="minorHAnsi" w:hAnsiTheme="minorHAnsi" w:cstheme="minorHAnsi"/>
          <w:lang w:val="en-US"/>
        </w:rPr>
        <w:t xml:space="preserve"> the idea that extradition </w:t>
      </w:r>
      <w:r w:rsidR="001576A8">
        <w:rPr>
          <w:rFonts w:asciiTheme="minorHAnsi" w:hAnsiTheme="minorHAnsi" w:cstheme="minorHAnsi"/>
          <w:lang w:val="en-US"/>
        </w:rPr>
        <w:t xml:space="preserve">and mutual assistance </w:t>
      </w:r>
      <w:r w:rsidR="00D87274" w:rsidRPr="00D87274">
        <w:rPr>
          <w:rFonts w:asciiTheme="minorHAnsi" w:hAnsiTheme="minorHAnsi" w:cstheme="minorHAnsi"/>
          <w:lang w:val="en-US"/>
        </w:rPr>
        <w:t xml:space="preserve">can smoothly take place between European Countries without concerns for the fundamental rights of extradited </w:t>
      </w:r>
      <w:r w:rsidR="001576A8">
        <w:rPr>
          <w:rFonts w:asciiTheme="minorHAnsi" w:hAnsiTheme="minorHAnsi" w:cstheme="minorHAnsi"/>
          <w:lang w:val="en-US"/>
        </w:rPr>
        <w:t>and suspected</w:t>
      </w:r>
      <w:r w:rsidR="00D87274" w:rsidRPr="00D87274">
        <w:rPr>
          <w:rFonts w:asciiTheme="minorHAnsi" w:hAnsiTheme="minorHAnsi" w:cstheme="minorHAnsi"/>
          <w:lang w:val="en-US"/>
        </w:rPr>
        <w:t xml:space="preserve"> people.</w:t>
      </w:r>
      <w:r w:rsidR="006C6384" w:rsidRPr="00D87274">
        <w:rPr>
          <w:rFonts w:asciiTheme="minorHAnsi" w:hAnsiTheme="minorHAnsi" w:cstheme="minorHAnsi"/>
          <w:lang w:val="en-US"/>
        </w:rPr>
        <w:t xml:space="preserve"> </w:t>
      </w:r>
      <w:r w:rsidR="001731F7" w:rsidRPr="00D87274">
        <w:rPr>
          <w:rFonts w:asciiTheme="minorHAnsi" w:hAnsiTheme="minorHAnsi" w:cstheme="minorHAnsi"/>
          <w:lang w:val="en-US"/>
        </w:rPr>
        <w:t>A case in point is that o</w:t>
      </w:r>
      <w:r w:rsidR="006C6384" w:rsidRPr="00D87274">
        <w:rPr>
          <w:rFonts w:asciiTheme="minorHAnsi" w:hAnsiTheme="minorHAnsi" w:cstheme="minorHAnsi"/>
          <w:lang w:val="en-US"/>
        </w:rPr>
        <w:t xml:space="preserve">ver a fifth of the Council of Europe Contracting Parties are today on </w:t>
      </w:r>
      <w:r w:rsidR="00B95843" w:rsidRPr="00D87274">
        <w:rPr>
          <w:rFonts w:asciiTheme="minorHAnsi" w:hAnsiTheme="minorHAnsi" w:cstheme="minorHAnsi"/>
          <w:lang w:val="en-US"/>
        </w:rPr>
        <w:t>the</w:t>
      </w:r>
      <w:r w:rsidR="006C6384" w:rsidRPr="00D87274">
        <w:rPr>
          <w:rFonts w:asciiTheme="minorHAnsi" w:hAnsiTheme="minorHAnsi" w:cstheme="minorHAnsi"/>
          <w:lang w:val="en-US"/>
        </w:rPr>
        <w:t xml:space="preserve"> monitoring list of the General Assembly for “</w:t>
      </w:r>
      <w:r w:rsidR="006C6384" w:rsidRPr="00D87274">
        <w:rPr>
          <w:rFonts w:asciiTheme="minorHAnsi" w:hAnsiTheme="minorHAnsi" w:cstheme="minorHAnsi"/>
          <w:iCs/>
          <w:lang w:val="en-US"/>
        </w:rPr>
        <w:t xml:space="preserve">persistent failure to </w:t>
      </w:r>
      <w:proofErr w:type="spellStart"/>
      <w:r w:rsidR="006C6384" w:rsidRPr="00D87274">
        <w:rPr>
          <w:rFonts w:asciiTheme="minorHAnsi" w:hAnsiTheme="minorHAnsi" w:cstheme="minorHAnsi"/>
          <w:iCs/>
          <w:lang w:val="en-US"/>
        </w:rPr>
        <w:t>hono</w:t>
      </w:r>
      <w:r w:rsidR="00545DEA">
        <w:rPr>
          <w:rFonts w:asciiTheme="minorHAnsi" w:hAnsiTheme="minorHAnsi" w:cstheme="minorHAnsi"/>
          <w:iCs/>
          <w:lang w:val="en-US"/>
        </w:rPr>
        <w:t>u</w:t>
      </w:r>
      <w:r w:rsidR="006C6384" w:rsidRPr="00D87274">
        <w:rPr>
          <w:rFonts w:asciiTheme="minorHAnsi" w:hAnsiTheme="minorHAnsi" w:cstheme="minorHAnsi"/>
          <w:iCs/>
          <w:lang w:val="en-US"/>
        </w:rPr>
        <w:t>r</w:t>
      </w:r>
      <w:proofErr w:type="spellEnd"/>
      <w:r w:rsidR="006C6384" w:rsidRPr="00D87274">
        <w:rPr>
          <w:rFonts w:asciiTheme="minorHAnsi" w:hAnsiTheme="minorHAnsi" w:cstheme="minorHAnsi"/>
          <w:iCs/>
          <w:lang w:val="en-US"/>
        </w:rPr>
        <w:t xml:space="preserve"> commitments freely entered into”,</w:t>
      </w:r>
      <w:r w:rsidR="006C6384" w:rsidRPr="00BF2A6A">
        <w:rPr>
          <w:rFonts w:asciiTheme="minorHAnsi" w:hAnsiTheme="minorHAnsi" w:cstheme="minorHAnsi"/>
          <w:iCs/>
          <w:vertAlign w:val="superscript"/>
          <w:lang w:val="en-US"/>
        </w:rPr>
        <w:footnoteReference w:id="13"/>
      </w:r>
      <w:r w:rsidR="006C6384" w:rsidRPr="00BF2A6A">
        <w:rPr>
          <w:rFonts w:asciiTheme="minorHAnsi" w:hAnsiTheme="minorHAnsi" w:cstheme="minorHAnsi"/>
          <w:iCs/>
          <w:lang w:val="en-US"/>
        </w:rPr>
        <w:t xml:space="preserve"> the latter referring to the respect of the values of the Council of Europe: democracy, the rule of law and the respect of human rights.</w:t>
      </w:r>
      <w:r w:rsidR="006C6384" w:rsidRPr="00BF2A6A">
        <w:rPr>
          <w:rFonts w:asciiTheme="minorHAnsi" w:hAnsiTheme="minorHAnsi" w:cstheme="minorHAnsi"/>
          <w:iCs/>
          <w:vertAlign w:val="superscript"/>
          <w:lang w:val="en-US"/>
        </w:rPr>
        <w:footnoteReference w:id="14"/>
      </w:r>
      <w:r w:rsidR="006C6384" w:rsidRPr="00BF2A6A">
        <w:rPr>
          <w:rFonts w:asciiTheme="minorHAnsi" w:hAnsiTheme="minorHAnsi" w:cstheme="minorHAnsi"/>
          <w:iCs/>
          <w:lang w:val="en-US"/>
        </w:rPr>
        <w:t xml:space="preserve"> </w:t>
      </w:r>
    </w:p>
    <w:p w14:paraId="7F9DE6E9" w14:textId="359326FF" w:rsidR="00CB774A" w:rsidRDefault="006C6384" w:rsidP="00D87274">
      <w:pPr>
        <w:jc w:val="both"/>
        <w:rPr>
          <w:rFonts w:asciiTheme="minorHAnsi" w:hAnsiTheme="minorHAnsi" w:cstheme="minorHAnsi"/>
          <w:iCs/>
          <w:lang w:val="en-US"/>
        </w:rPr>
      </w:pPr>
      <w:r w:rsidRPr="00BF2A6A">
        <w:rPr>
          <w:rFonts w:asciiTheme="minorHAnsi" w:hAnsiTheme="minorHAnsi" w:cstheme="minorHAnsi"/>
          <w:iCs/>
          <w:lang w:val="en-US"/>
        </w:rPr>
        <w:t xml:space="preserve">Classic </w:t>
      </w:r>
      <w:r w:rsidR="00EF407C" w:rsidRPr="00BF2A6A">
        <w:rPr>
          <w:rFonts w:asciiTheme="minorHAnsi" w:hAnsiTheme="minorHAnsi" w:cstheme="minorHAnsi"/>
          <w:iCs/>
          <w:lang w:val="en-US"/>
        </w:rPr>
        <w:t xml:space="preserve">principles </w:t>
      </w:r>
      <w:r w:rsidRPr="00BF2A6A">
        <w:rPr>
          <w:rFonts w:asciiTheme="minorHAnsi" w:hAnsiTheme="minorHAnsi" w:cstheme="minorHAnsi"/>
          <w:iCs/>
          <w:lang w:val="en-US"/>
        </w:rPr>
        <w:t>from extradition law</w:t>
      </w:r>
      <w:r w:rsidR="00321A69" w:rsidRPr="00BF2A6A">
        <w:rPr>
          <w:rFonts w:asciiTheme="minorHAnsi" w:hAnsiTheme="minorHAnsi" w:cstheme="minorHAnsi"/>
          <w:iCs/>
          <w:lang w:val="en-US"/>
        </w:rPr>
        <w:t>,</w:t>
      </w:r>
      <w:r w:rsidRPr="00BF2A6A">
        <w:rPr>
          <w:rFonts w:asciiTheme="minorHAnsi" w:hAnsiTheme="minorHAnsi" w:cstheme="minorHAnsi"/>
          <w:iCs/>
          <w:lang w:val="en-US"/>
        </w:rPr>
        <w:t xml:space="preserve"> </w:t>
      </w:r>
      <w:r w:rsidR="00EF407C" w:rsidRPr="00BF2A6A">
        <w:rPr>
          <w:rFonts w:asciiTheme="minorHAnsi" w:hAnsiTheme="minorHAnsi" w:cstheme="minorHAnsi"/>
          <w:iCs/>
          <w:lang w:val="en-US"/>
        </w:rPr>
        <w:t xml:space="preserve">such as the </w:t>
      </w:r>
      <w:r w:rsidRPr="00BF2A6A">
        <w:rPr>
          <w:rFonts w:asciiTheme="minorHAnsi" w:hAnsiTheme="minorHAnsi" w:cstheme="minorHAnsi"/>
          <w:iCs/>
          <w:lang w:val="en-US"/>
        </w:rPr>
        <w:t>political offence</w:t>
      </w:r>
      <w:r w:rsidR="00EF407C" w:rsidRPr="00BF2A6A">
        <w:rPr>
          <w:rFonts w:asciiTheme="minorHAnsi" w:hAnsiTheme="minorHAnsi" w:cstheme="minorHAnsi"/>
          <w:iCs/>
          <w:lang w:val="en-US"/>
        </w:rPr>
        <w:t xml:space="preserve"> exception or the discrimination clause</w:t>
      </w:r>
      <w:r w:rsidR="00321A69" w:rsidRPr="00BF2A6A">
        <w:rPr>
          <w:rFonts w:asciiTheme="minorHAnsi" w:hAnsiTheme="minorHAnsi" w:cstheme="minorHAnsi"/>
          <w:iCs/>
          <w:lang w:val="en-US"/>
        </w:rPr>
        <w:t>,</w:t>
      </w:r>
      <w:r w:rsidRPr="00BF2A6A">
        <w:rPr>
          <w:rFonts w:asciiTheme="minorHAnsi" w:hAnsiTheme="minorHAnsi" w:cstheme="minorHAnsi"/>
          <w:iCs/>
          <w:lang w:val="en-US"/>
        </w:rPr>
        <w:t xml:space="preserve"> are therefore </w:t>
      </w:r>
      <w:r w:rsidR="00BF4D1B" w:rsidRPr="00BF2A6A">
        <w:rPr>
          <w:rFonts w:asciiTheme="minorHAnsi" w:hAnsiTheme="minorHAnsi" w:cstheme="minorHAnsi"/>
          <w:iCs/>
          <w:lang w:val="en-US"/>
        </w:rPr>
        <w:t xml:space="preserve">far </w:t>
      </w:r>
      <w:r w:rsidRPr="00BF2A6A">
        <w:rPr>
          <w:rFonts w:asciiTheme="minorHAnsi" w:hAnsiTheme="minorHAnsi" w:cstheme="minorHAnsi"/>
          <w:iCs/>
          <w:lang w:val="en-US"/>
        </w:rPr>
        <w:t>from outdated.</w:t>
      </w:r>
      <w:r w:rsidR="00E1180E" w:rsidRPr="00BF2A6A">
        <w:rPr>
          <w:rFonts w:asciiTheme="minorHAnsi" w:hAnsiTheme="minorHAnsi" w:cstheme="minorHAnsi"/>
          <w:iCs/>
          <w:lang w:val="en-US"/>
        </w:rPr>
        <w:t xml:space="preserve"> </w:t>
      </w:r>
      <w:r w:rsidR="000B1AFD" w:rsidRPr="00BF2A6A">
        <w:rPr>
          <w:rFonts w:asciiTheme="minorHAnsi" w:hAnsiTheme="minorHAnsi" w:cstheme="minorHAnsi"/>
          <w:iCs/>
          <w:lang w:val="en-US"/>
        </w:rPr>
        <w:t>The Council of Europe</w:t>
      </w:r>
      <w:r w:rsidR="006B3FC4" w:rsidRPr="00BF2A6A">
        <w:rPr>
          <w:rFonts w:asciiTheme="minorHAnsi" w:hAnsiTheme="minorHAnsi" w:cstheme="minorHAnsi"/>
          <w:iCs/>
          <w:lang w:val="en-US"/>
        </w:rPr>
        <w:t xml:space="preserve"> </w:t>
      </w:r>
      <w:r w:rsidRPr="00BF2A6A">
        <w:rPr>
          <w:rFonts w:asciiTheme="minorHAnsi" w:hAnsiTheme="minorHAnsi" w:cstheme="minorHAnsi"/>
          <w:iCs/>
          <w:lang w:val="en-US"/>
        </w:rPr>
        <w:t xml:space="preserve">could have taken the </w:t>
      </w:r>
      <w:r w:rsidR="0036446B" w:rsidRPr="00BF2A6A">
        <w:rPr>
          <w:rFonts w:asciiTheme="minorHAnsi" w:hAnsiTheme="minorHAnsi" w:cstheme="minorHAnsi"/>
          <w:iCs/>
          <w:lang w:val="en-US"/>
        </w:rPr>
        <w:t xml:space="preserve">idea of Europe more seriously in </w:t>
      </w:r>
      <w:r w:rsidR="00321A69" w:rsidRPr="00BF2A6A">
        <w:rPr>
          <w:rFonts w:asciiTheme="minorHAnsi" w:hAnsiTheme="minorHAnsi" w:cstheme="minorHAnsi"/>
          <w:iCs/>
          <w:lang w:val="en-US"/>
        </w:rPr>
        <w:t>its most</w:t>
      </w:r>
      <w:r w:rsidR="0036446B" w:rsidRPr="00BF2A6A">
        <w:rPr>
          <w:rFonts w:asciiTheme="minorHAnsi" w:hAnsiTheme="minorHAnsi" w:cstheme="minorHAnsi"/>
          <w:iCs/>
          <w:lang w:val="en-US"/>
        </w:rPr>
        <w:t xml:space="preserve"> banal sense: its scope, its differences in legal culture</w:t>
      </w:r>
      <w:r w:rsidR="00CC4AAE" w:rsidRPr="00BF2A6A">
        <w:rPr>
          <w:rFonts w:asciiTheme="minorHAnsi" w:hAnsiTheme="minorHAnsi" w:cstheme="minorHAnsi"/>
          <w:iCs/>
          <w:lang w:val="en-US"/>
        </w:rPr>
        <w:t>s</w:t>
      </w:r>
      <w:r w:rsidR="0036446B" w:rsidRPr="00BF2A6A">
        <w:rPr>
          <w:rFonts w:asciiTheme="minorHAnsi" w:hAnsiTheme="minorHAnsi" w:cstheme="minorHAnsi"/>
          <w:iCs/>
          <w:lang w:val="en-US"/>
        </w:rPr>
        <w:t xml:space="preserve"> and language</w:t>
      </w:r>
      <w:r w:rsidR="00CC4AAE" w:rsidRPr="00BF2A6A">
        <w:rPr>
          <w:rFonts w:asciiTheme="minorHAnsi" w:hAnsiTheme="minorHAnsi" w:cstheme="minorHAnsi"/>
          <w:iCs/>
          <w:lang w:val="en-US"/>
        </w:rPr>
        <w:t>s</w:t>
      </w:r>
      <w:r w:rsidR="0036446B" w:rsidRPr="00BF2A6A">
        <w:rPr>
          <w:rFonts w:asciiTheme="minorHAnsi" w:hAnsiTheme="minorHAnsi" w:cstheme="minorHAnsi"/>
          <w:iCs/>
          <w:lang w:val="en-US"/>
        </w:rPr>
        <w:t>. Can extradition between states and a displacement of a person within a state</w:t>
      </w:r>
      <w:r w:rsidR="00E1180E" w:rsidRPr="00BF2A6A">
        <w:rPr>
          <w:rFonts w:asciiTheme="minorHAnsi" w:hAnsiTheme="minorHAnsi" w:cstheme="minorHAnsi"/>
          <w:iCs/>
          <w:lang w:val="en-US"/>
        </w:rPr>
        <w:t xml:space="preserve"> really be put on </w:t>
      </w:r>
      <w:r w:rsidR="00545DEA">
        <w:rPr>
          <w:rFonts w:asciiTheme="minorHAnsi" w:hAnsiTheme="minorHAnsi" w:cstheme="minorHAnsi"/>
          <w:iCs/>
          <w:lang w:val="en-US"/>
        </w:rPr>
        <w:t xml:space="preserve">an </w:t>
      </w:r>
      <w:r w:rsidR="004079F6" w:rsidRPr="00BF2A6A">
        <w:rPr>
          <w:rFonts w:asciiTheme="minorHAnsi" w:hAnsiTheme="minorHAnsi" w:cstheme="minorHAnsi"/>
          <w:iCs/>
          <w:lang w:val="en-US"/>
        </w:rPr>
        <w:t>equal</w:t>
      </w:r>
      <w:r w:rsidR="00E1180E" w:rsidRPr="00BF2A6A">
        <w:rPr>
          <w:rFonts w:asciiTheme="minorHAnsi" w:hAnsiTheme="minorHAnsi" w:cstheme="minorHAnsi"/>
          <w:iCs/>
          <w:lang w:val="en-US"/>
        </w:rPr>
        <w:t xml:space="preserve"> footing</w:t>
      </w:r>
      <w:r w:rsidR="0036446B" w:rsidRPr="00BF2A6A">
        <w:rPr>
          <w:rFonts w:asciiTheme="minorHAnsi" w:hAnsiTheme="minorHAnsi" w:cstheme="minorHAnsi"/>
          <w:iCs/>
          <w:lang w:val="en-US"/>
        </w:rPr>
        <w:t xml:space="preserve">? </w:t>
      </w:r>
      <w:r w:rsidR="004124B1" w:rsidRPr="00BF2A6A">
        <w:rPr>
          <w:rFonts w:asciiTheme="minorHAnsi" w:hAnsiTheme="minorHAnsi" w:cstheme="minorHAnsi"/>
          <w:iCs/>
          <w:lang w:val="en-US"/>
        </w:rPr>
        <w:t>Can</w:t>
      </w:r>
      <w:r w:rsidR="0036446B" w:rsidRPr="00BF2A6A">
        <w:rPr>
          <w:rFonts w:asciiTheme="minorHAnsi" w:hAnsiTheme="minorHAnsi" w:cstheme="minorHAnsi"/>
          <w:iCs/>
          <w:lang w:val="en-US"/>
        </w:rPr>
        <w:t xml:space="preserve"> moving a suspect from Paris to Rouen </w:t>
      </w:r>
      <w:r w:rsidR="00D7679E" w:rsidRPr="00BF2A6A">
        <w:rPr>
          <w:rFonts w:asciiTheme="minorHAnsi" w:hAnsiTheme="minorHAnsi" w:cstheme="minorHAnsi"/>
          <w:iCs/>
          <w:lang w:val="en-US"/>
        </w:rPr>
        <w:t>b</w:t>
      </w:r>
      <w:r w:rsidR="0036446B" w:rsidRPr="00BF2A6A">
        <w:rPr>
          <w:rFonts w:asciiTheme="minorHAnsi" w:hAnsiTheme="minorHAnsi" w:cstheme="minorHAnsi"/>
          <w:iCs/>
          <w:lang w:val="en-US"/>
        </w:rPr>
        <w:t xml:space="preserve">e compared with moving a suspect from Lisbon to Oslo? Hardly. In terms of social-economic rights and </w:t>
      </w:r>
      <w:r w:rsidR="00EE0A39">
        <w:rPr>
          <w:rFonts w:asciiTheme="minorHAnsi" w:hAnsiTheme="minorHAnsi" w:cstheme="minorHAnsi"/>
          <w:iCs/>
          <w:lang w:val="en-US"/>
        </w:rPr>
        <w:t xml:space="preserve">the </w:t>
      </w:r>
      <w:r w:rsidR="0036446B" w:rsidRPr="00BF2A6A">
        <w:rPr>
          <w:rFonts w:asciiTheme="minorHAnsi" w:hAnsiTheme="minorHAnsi" w:cstheme="minorHAnsi"/>
          <w:iCs/>
          <w:lang w:val="en-US"/>
        </w:rPr>
        <w:t xml:space="preserve">effective exercise of </w:t>
      </w:r>
      <w:proofErr w:type="spellStart"/>
      <w:r w:rsidR="0036446B" w:rsidRPr="00BF2A6A">
        <w:rPr>
          <w:rFonts w:asciiTheme="minorHAnsi" w:hAnsiTheme="minorHAnsi" w:cstheme="minorHAnsi"/>
          <w:iCs/>
          <w:lang w:val="en-US"/>
        </w:rPr>
        <w:t>defen</w:t>
      </w:r>
      <w:r w:rsidR="00BF2A6A">
        <w:rPr>
          <w:rFonts w:asciiTheme="minorHAnsi" w:hAnsiTheme="minorHAnsi" w:cstheme="minorHAnsi"/>
          <w:iCs/>
          <w:lang w:val="en-US"/>
        </w:rPr>
        <w:t>c</w:t>
      </w:r>
      <w:r w:rsidR="0036446B" w:rsidRPr="00BF2A6A">
        <w:rPr>
          <w:rFonts w:asciiTheme="minorHAnsi" w:hAnsiTheme="minorHAnsi" w:cstheme="minorHAnsi"/>
          <w:iCs/>
          <w:lang w:val="en-US"/>
        </w:rPr>
        <w:t>e</w:t>
      </w:r>
      <w:proofErr w:type="spellEnd"/>
      <w:r w:rsidR="0036446B" w:rsidRPr="00BF2A6A">
        <w:rPr>
          <w:rFonts w:asciiTheme="minorHAnsi" w:hAnsiTheme="minorHAnsi" w:cstheme="minorHAnsi"/>
          <w:iCs/>
          <w:lang w:val="en-US"/>
        </w:rPr>
        <w:t xml:space="preserve"> rights</w:t>
      </w:r>
      <w:r w:rsidR="00C50E0E" w:rsidRPr="00BF2A6A">
        <w:rPr>
          <w:rFonts w:asciiTheme="minorHAnsi" w:hAnsiTheme="minorHAnsi" w:cstheme="minorHAnsi"/>
          <w:iCs/>
          <w:lang w:val="en-US"/>
        </w:rPr>
        <w:t>,</w:t>
      </w:r>
      <w:r w:rsidR="0036446B" w:rsidRPr="00BF2A6A">
        <w:rPr>
          <w:rFonts w:asciiTheme="minorHAnsi" w:hAnsiTheme="minorHAnsi" w:cstheme="minorHAnsi"/>
          <w:iCs/>
          <w:lang w:val="en-US"/>
        </w:rPr>
        <w:t xml:space="preserve"> </w:t>
      </w:r>
      <w:r w:rsidR="002D636F" w:rsidRPr="00BF2A6A">
        <w:rPr>
          <w:rFonts w:asciiTheme="minorHAnsi" w:hAnsiTheme="minorHAnsi" w:cstheme="minorHAnsi"/>
          <w:iCs/>
          <w:lang w:val="en-US"/>
        </w:rPr>
        <w:t>intra-state and inter-state transfers</w:t>
      </w:r>
      <w:r w:rsidR="0036446B" w:rsidRPr="00BF2A6A">
        <w:rPr>
          <w:rFonts w:asciiTheme="minorHAnsi" w:hAnsiTheme="minorHAnsi" w:cstheme="minorHAnsi"/>
          <w:iCs/>
          <w:lang w:val="en-US"/>
        </w:rPr>
        <w:t xml:space="preserve"> cannot be compared</w:t>
      </w:r>
      <w:r w:rsidR="00CC5E31" w:rsidRPr="00BF2A6A">
        <w:rPr>
          <w:rFonts w:asciiTheme="minorHAnsi" w:hAnsiTheme="minorHAnsi" w:cstheme="minorHAnsi"/>
          <w:iCs/>
          <w:lang w:val="en-US"/>
        </w:rPr>
        <w:t>.</w:t>
      </w:r>
      <w:r w:rsidR="00CC4AAE" w:rsidRPr="00BF2A6A">
        <w:rPr>
          <w:rFonts w:asciiTheme="minorHAnsi" w:hAnsiTheme="minorHAnsi" w:cstheme="minorHAnsi"/>
          <w:iCs/>
          <w:lang w:val="en-US"/>
        </w:rPr>
        <w:t xml:space="preserve"> </w:t>
      </w:r>
      <w:r w:rsidR="00CC5E31" w:rsidRPr="00BF2A6A">
        <w:rPr>
          <w:rFonts w:asciiTheme="minorHAnsi" w:hAnsiTheme="minorHAnsi" w:cstheme="minorHAnsi"/>
          <w:iCs/>
          <w:lang w:val="en-US"/>
        </w:rPr>
        <w:t>M</w:t>
      </w:r>
      <w:r w:rsidR="0036446B" w:rsidRPr="00BF2A6A">
        <w:rPr>
          <w:rFonts w:asciiTheme="minorHAnsi" w:hAnsiTheme="minorHAnsi" w:cstheme="minorHAnsi"/>
          <w:iCs/>
          <w:lang w:val="en-US"/>
        </w:rPr>
        <w:t>ore</w:t>
      </w:r>
      <w:r w:rsidR="00CC5E31" w:rsidRPr="00BF2A6A">
        <w:rPr>
          <w:rFonts w:asciiTheme="minorHAnsi" w:hAnsiTheme="minorHAnsi" w:cstheme="minorHAnsi"/>
          <w:iCs/>
          <w:lang w:val="en-US"/>
        </w:rPr>
        <w:t xml:space="preserve"> attention to the different</w:t>
      </w:r>
      <w:r w:rsidR="0036446B" w:rsidRPr="00BF2A6A">
        <w:rPr>
          <w:rFonts w:asciiTheme="minorHAnsi" w:hAnsiTheme="minorHAnsi" w:cstheme="minorHAnsi"/>
          <w:iCs/>
          <w:lang w:val="en-US"/>
        </w:rPr>
        <w:t xml:space="preserve"> fundamental rights</w:t>
      </w:r>
      <w:r w:rsidR="00CC5E31" w:rsidRPr="00BF2A6A">
        <w:rPr>
          <w:rFonts w:asciiTheme="minorHAnsi" w:hAnsiTheme="minorHAnsi" w:cstheme="minorHAnsi"/>
          <w:iCs/>
          <w:lang w:val="en-US"/>
        </w:rPr>
        <w:t xml:space="preserve"> protection that each scenario requires</w:t>
      </w:r>
      <w:r w:rsidR="0036446B" w:rsidRPr="00BF2A6A">
        <w:rPr>
          <w:rFonts w:asciiTheme="minorHAnsi" w:hAnsiTheme="minorHAnsi" w:cstheme="minorHAnsi"/>
          <w:iCs/>
          <w:lang w:val="en-US"/>
        </w:rPr>
        <w:t xml:space="preserve"> </w:t>
      </w:r>
      <w:r w:rsidR="00CC5E31" w:rsidRPr="00BF2A6A">
        <w:rPr>
          <w:rFonts w:asciiTheme="minorHAnsi" w:hAnsiTheme="minorHAnsi" w:cstheme="minorHAnsi"/>
          <w:iCs/>
          <w:lang w:val="en-US"/>
        </w:rPr>
        <w:t xml:space="preserve">was </w:t>
      </w:r>
      <w:r w:rsidR="00682683" w:rsidRPr="00BF2A6A">
        <w:rPr>
          <w:rFonts w:asciiTheme="minorHAnsi" w:hAnsiTheme="minorHAnsi" w:cstheme="minorHAnsi"/>
          <w:iCs/>
          <w:lang w:val="en-US"/>
        </w:rPr>
        <w:t xml:space="preserve">thus </w:t>
      </w:r>
      <w:r w:rsidR="00CC5E31" w:rsidRPr="00BF2A6A">
        <w:rPr>
          <w:rFonts w:asciiTheme="minorHAnsi" w:hAnsiTheme="minorHAnsi" w:cstheme="minorHAnsi"/>
          <w:iCs/>
          <w:lang w:val="en-US"/>
        </w:rPr>
        <w:t xml:space="preserve">necessary </w:t>
      </w:r>
      <w:r w:rsidR="00E358C7" w:rsidRPr="00BF2A6A">
        <w:rPr>
          <w:rFonts w:asciiTheme="minorHAnsi" w:hAnsiTheme="minorHAnsi" w:cstheme="minorHAnsi"/>
          <w:iCs/>
          <w:lang w:val="en-US"/>
        </w:rPr>
        <w:t xml:space="preserve">at the moment of </w:t>
      </w:r>
      <w:r w:rsidR="0036446B" w:rsidRPr="00BF2A6A">
        <w:rPr>
          <w:rFonts w:asciiTheme="minorHAnsi" w:hAnsiTheme="minorHAnsi" w:cstheme="minorHAnsi"/>
          <w:iCs/>
          <w:lang w:val="en-US"/>
        </w:rPr>
        <w:t xml:space="preserve">drafting </w:t>
      </w:r>
      <w:r w:rsidR="00367472" w:rsidRPr="00BF2A6A">
        <w:rPr>
          <w:rFonts w:asciiTheme="minorHAnsi" w:hAnsiTheme="minorHAnsi" w:cstheme="minorHAnsi"/>
          <w:iCs/>
          <w:lang w:val="en-US"/>
        </w:rPr>
        <w:t>the ECHR</w:t>
      </w:r>
      <w:r w:rsidR="008903AD">
        <w:rPr>
          <w:rFonts w:asciiTheme="minorHAnsi" w:hAnsiTheme="minorHAnsi" w:cstheme="minorHAnsi"/>
          <w:iCs/>
          <w:lang w:val="en-US"/>
        </w:rPr>
        <w:t>.</w:t>
      </w:r>
      <w:r w:rsidR="0000159A" w:rsidRPr="00D87274">
        <w:rPr>
          <w:rStyle w:val="Appelnotedebasdep"/>
          <w:rFonts w:asciiTheme="minorHAnsi" w:hAnsiTheme="minorHAnsi" w:cstheme="minorHAnsi"/>
          <w:iCs/>
          <w:lang w:val="en-US"/>
        </w:rPr>
        <w:footnoteReference w:id="15"/>
      </w:r>
      <w:r w:rsidR="00BF2A6A">
        <w:rPr>
          <w:rFonts w:asciiTheme="minorHAnsi" w:hAnsiTheme="minorHAnsi" w:cstheme="minorHAnsi"/>
          <w:iCs/>
          <w:lang w:val="en-US"/>
        </w:rPr>
        <w:t xml:space="preserve"> </w:t>
      </w:r>
      <w:r w:rsidR="001576A8">
        <w:rPr>
          <w:rFonts w:asciiTheme="minorHAnsi" w:hAnsiTheme="minorHAnsi" w:cstheme="minorHAnsi"/>
          <w:iCs/>
          <w:lang w:val="en-US"/>
        </w:rPr>
        <w:t xml:space="preserve"> </w:t>
      </w:r>
      <w:r w:rsidR="00C50E0E" w:rsidRPr="00BF2A6A">
        <w:rPr>
          <w:rFonts w:asciiTheme="minorHAnsi" w:hAnsiTheme="minorHAnsi" w:cstheme="minorHAnsi"/>
          <w:iCs/>
          <w:lang w:val="en-US"/>
        </w:rPr>
        <w:t>N</w:t>
      </w:r>
      <w:r w:rsidR="0036446B" w:rsidRPr="00BF2A6A">
        <w:rPr>
          <w:rFonts w:asciiTheme="minorHAnsi" w:hAnsiTheme="minorHAnsi" w:cstheme="minorHAnsi"/>
          <w:iCs/>
          <w:lang w:val="en-US"/>
        </w:rPr>
        <w:t xml:space="preserve">one of the drafting authors </w:t>
      </w:r>
      <w:r w:rsidR="00C50E0E" w:rsidRPr="00BF2A6A">
        <w:rPr>
          <w:rFonts w:asciiTheme="minorHAnsi" w:hAnsiTheme="minorHAnsi" w:cstheme="minorHAnsi"/>
          <w:iCs/>
          <w:lang w:val="en-US"/>
        </w:rPr>
        <w:t xml:space="preserve">seem to have </w:t>
      </w:r>
      <w:r w:rsidR="0036446B" w:rsidRPr="00BF2A6A">
        <w:rPr>
          <w:rFonts w:asciiTheme="minorHAnsi" w:hAnsiTheme="minorHAnsi" w:cstheme="minorHAnsi"/>
          <w:iCs/>
          <w:lang w:val="en-US"/>
        </w:rPr>
        <w:t>had the courage to break with or to innovate the state</w:t>
      </w:r>
      <w:r w:rsidR="00BF2A6A">
        <w:rPr>
          <w:rFonts w:asciiTheme="minorHAnsi" w:hAnsiTheme="minorHAnsi" w:cstheme="minorHAnsi"/>
          <w:iCs/>
          <w:lang w:val="en-US"/>
        </w:rPr>
        <w:t>-</w:t>
      </w:r>
      <w:r w:rsidR="0036446B" w:rsidRPr="00BF2A6A">
        <w:rPr>
          <w:rFonts w:asciiTheme="minorHAnsi" w:hAnsiTheme="minorHAnsi" w:cstheme="minorHAnsi"/>
          <w:iCs/>
          <w:lang w:val="en-US"/>
        </w:rPr>
        <w:t xml:space="preserve">based human rights tradition that we know from the French Revolution and early modernity. </w:t>
      </w:r>
      <w:r w:rsidR="00BF2A6A">
        <w:rPr>
          <w:rFonts w:asciiTheme="minorHAnsi" w:hAnsiTheme="minorHAnsi" w:cstheme="minorHAnsi"/>
          <w:iCs/>
          <w:lang w:val="en-US"/>
        </w:rPr>
        <w:t xml:space="preserve">What was drafted was a catalogue of rights, and extradition between these countries was deemed </w:t>
      </w:r>
      <w:r w:rsidR="00BF2A6A">
        <w:rPr>
          <w:rFonts w:asciiTheme="minorHAnsi" w:hAnsiTheme="minorHAnsi" w:cstheme="minorHAnsi"/>
          <w:iCs/>
          <w:lang w:val="en-US"/>
        </w:rPr>
        <w:lastRenderedPageBreak/>
        <w:t>possible on the assumption that each country would respect those</w:t>
      </w:r>
      <w:r w:rsidR="00965149">
        <w:rPr>
          <w:rFonts w:asciiTheme="minorHAnsi" w:hAnsiTheme="minorHAnsi" w:cstheme="minorHAnsi"/>
          <w:iCs/>
          <w:lang w:val="en-US"/>
        </w:rPr>
        <w:t xml:space="preserve"> rights</w:t>
      </w:r>
      <w:r w:rsidR="00BF2A6A">
        <w:rPr>
          <w:rFonts w:asciiTheme="minorHAnsi" w:hAnsiTheme="minorHAnsi" w:cstheme="minorHAnsi"/>
          <w:iCs/>
          <w:lang w:val="en-US"/>
        </w:rPr>
        <w:t xml:space="preserve">. </w:t>
      </w:r>
      <w:r w:rsidR="00E37A18" w:rsidRPr="00BF2A6A">
        <w:rPr>
          <w:rFonts w:asciiTheme="minorHAnsi" w:hAnsiTheme="minorHAnsi" w:cstheme="minorHAnsi"/>
          <w:iCs/>
          <w:lang w:val="en-US"/>
        </w:rPr>
        <w:t>Thinking transnationally</w:t>
      </w:r>
      <w:r w:rsidR="00BF2A6A">
        <w:rPr>
          <w:rFonts w:asciiTheme="minorHAnsi" w:hAnsiTheme="minorHAnsi" w:cstheme="minorHAnsi"/>
          <w:iCs/>
          <w:lang w:val="en-US"/>
        </w:rPr>
        <w:t xml:space="preserve"> </w:t>
      </w:r>
      <w:r w:rsidR="005437E4">
        <w:rPr>
          <w:rFonts w:asciiTheme="minorHAnsi" w:hAnsiTheme="minorHAnsi" w:cstheme="minorHAnsi"/>
          <w:iCs/>
          <w:lang w:val="en-US"/>
        </w:rPr>
        <w:t>–</w:t>
      </w:r>
      <w:r w:rsidR="00BF2A6A">
        <w:rPr>
          <w:rFonts w:asciiTheme="minorHAnsi" w:hAnsiTheme="minorHAnsi" w:cstheme="minorHAnsi"/>
          <w:iCs/>
          <w:lang w:val="en-US"/>
        </w:rPr>
        <w:t xml:space="preserve"> namely of the rights of those individuals caught between two jurisdictions which might apply the ECHR standards differently </w:t>
      </w:r>
      <w:r w:rsidR="005437E4">
        <w:rPr>
          <w:rFonts w:asciiTheme="minorHAnsi" w:hAnsiTheme="minorHAnsi" w:cstheme="minorHAnsi"/>
          <w:iCs/>
          <w:lang w:val="en-US"/>
        </w:rPr>
        <w:t>–</w:t>
      </w:r>
      <w:r w:rsidR="00E37A18" w:rsidRPr="00BF2A6A">
        <w:rPr>
          <w:rFonts w:asciiTheme="minorHAnsi" w:hAnsiTheme="minorHAnsi" w:cstheme="minorHAnsi"/>
          <w:iCs/>
          <w:lang w:val="en-US"/>
        </w:rPr>
        <w:t xml:space="preserve"> proved to be a bridge to far</w:t>
      </w:r>
      <w:r w:rsidR="0036446B" w:rsidRPr="00BF2A6A">
        <w:rPr>
          <w:rFonts w:asciiTheme="minorHAnsi" w:hAnsiTheme="minorHAnsi" w:cstheme="minorHAnsi"/>
          <w:iCs/>
          <w:lang w:val="en-US"/>
        </w:rPr>
        <w:t>.</w:t>
      </w:r>
      <w:r w:rsidR="00E37A18" w:rsidRPr="00D87274">
        <w:rPr>
          <w:rStyle w:val="Appelnotedebasdep"/>
          <w:rFonts w:asciiTheme="minorHAnsi" w:hAnsiTheme="minorHAnsi" w:cstheme="minorHAnsi"/>
          <w:iCs/>
          <w:lang w:val="en-US"/>
        </w:rPr>
        <w:footnoteReference w:id="16"/>
      </w:r>
      <w:r w:rsidR="0036446B" w:rsidRPr="00BF2A6A">
        <w:rPr>
          <w:rFonts w:asciiTheme="minorHAnsi" w:hAnsiTheme="minorHAnsi" w:cstheme="minorHAnsi"/>
          <w:iCs/>
          <w:lang w:val="en-US"/>
        </w:rPr>
        <w:t xml:space="preserve"> </w:t>
      </w:r>
      <w:r w:rsidR="001B7D82" w:rsidRPr="00BF2A6A">
        <w:rPr>
          <w:rFonts w:asciiTheme="minorHAnsi" w:hAnsiTheme="minorHAnsi" w:cstheme="minorHAnsi"/>
          <w:iCs/>
          <w:lang w:val="en-US"/>
        </w:rPr>
        <w:t xml:space="preserve">Human rights protection in extradition </w:t>
      </w:r>
      <w:r w:rsidR="001576A8">
        <w:rPr>
          <w:rFonts w:asciiTheme="minorHAnsi" w:hAnsiTheme="minorHAnsi" w:cstheme="minorHAnsi"/>
          <w:iCs/>
          <w:lang w:val="en-US"/>
        </w:rPr>
        <w:t xml:space="preserve">and mutual assistance cases </w:t>
      </w:r>
      <w:r w:rsidR="001B7D82" w:rsidRPr="00BF2A6A">
        <w:rPr>
          <w:rFonts w:asciiTheme="minorHAnsi" w:hAnsiTheme="minorHAnsi" w:cstheme="minorHAnsi"/>
          <w:iCs/>
          <w:lang w:val="en-US"/>
        </w:rPr>
        <w:t>is</w:t>
      </w:r>
      <w:r w:rsidR="0028678F" w:rsidRPr="00BF2A6A">
        <w:rPr>
          <w:rFonts w:asciiTheme="minorHAnsi" w:hAnsiTheme="minorHAnsi" w:cstheme="minorHAnsi"/>
          <w:iCs/>
          <w:lang w:val="en-US"/>
        </w:rPr>
        <w:t xml:space="preserve"> thus </w:t>
      </w:r>
      <w:r w:rsidR="00AC7D40" w:rsidRPr="00BF2A6A">
        <w:rPr>
          <w:rFonts w:asciiTheme="minorHAnsi" w:hAnsiTheme="minorHAnsi" w:cstheme="minorHAnsi"/>
          <w:iCs/>
          <w:lang w:val="en-US"/>
        </w:rPr>
        <w:t xml:space="preserve">left to be dealt with </w:t>
      </w:r>
      <w:r w:rsidR="00825EB2" w:rsidRPr="00BF2A6A">
        <w:rPr>
          <w:rFonts w:asciiTheme="minorHAnsi" w:hAnsiTheme="minorHAnsi" w:cstheme="minorHAnsi"/>
          <w:iCs/>
          <w:lang w:val="en-US"/>
        </w:rPr>
        <w:t>at the domestic level</w:t>
      </w:r>
      <w:r w:rsidR="00E5426A" w:rsidRPr="00BF2A6A">
        <w:rPr>
          <w:rFonts w:asciiTheme="minorHAnsi" w:hAnsiTheme="minorHAnsi" w:cstheme="minorHAnsi"/>
          <w:iCs/>
          <w:lang w:val="en-US"/>
        </w:rPr>
        <w:t>, as</w:t>
      </w:r>
      <w:r w:rsidR="001B7D82" w:rsidRPr="00BF2A6A">
        <w:rPr>
          <w:rFonts w:asciiTheme="minorHAnsi" w:hAnsiTheme="minorHAnsi" w:cstheme="minorHAnsi"/>
          <w:iCs/>
          <w:lang w:val="en-US"/>
        </w:rPr>
        <w:t xml:space="preserve"> </w:t>
      </w:r>
      <w:r w:rsidR="000C5879" w:rsidRPr="00BF2A6A">
        <w:rPr>
          <w:rFonts w:asciiTheme="minorHAnsi" w:hAnsiTheme="minorHAnsi" w:cstheme="minorHAnsi"/>
          <w:iCs/>
          <w:lang w:val="en-US"/>
        </w:rPr>
        <w:t>the</w:t>
      </w:r>
      <w:r w:rsidR="00EE6784" w:rsidRPr="00BF2A6A">
        <w:rPr>
          <w:rFonts w:asciiTheme="minorHAnsi" w:hAnsiTheme="minorHAnsi" w:cstheme="minorHAnsi"/>
          <w:iCs/>
          <w:lang w:val="en-US"/>
        </w:rPr>
        <w:t xml:space="preserve"> </w:t>
      </w:r>
      <w:r w:rsidR="00D87E1B" w:rsidRPr="00BF2A6A">
        <w:rPr>
          <w:rFonts w:asciiTheme="minorHAnsi" w:hAnsiTheme="minorHAnsi" w:cstheme="minorHAnsi"/>
          <w:i/>
          <w:lang w:val="en-US"/>
        </w:rPr>
        <w:t xml:space="preserve">ne bis in idem </w:t>
      </w:r>
      <w:r w:rsidR="00EE6784" w:rsidRPr="00BF2A6A">
        <w:rPr>
          <w:rFonts w:asciiTheme="minorHAnsi" w:hAnsiTheme="minorHAnsi" w:cstheme="minorHAnsi"/>
          <w:iCs/>
          <w:lang w:val="en-US"/>
        </w:rPr>
        <w:t xml:space="preserve">safeguard presented </w:t>
      </w:r>
      <w:r w:rsidR="008F1271" w:rsidRPr="00BF2A6A">
        <w:rPr>
          <w:rFonts w:asciiTheme="minorHAnsi" w:hAnsiTheme="minorHAnsi" w:cstheme="minorHAnsi"/>
          <w:iCs/>
          <w:lang w:val="en-US"/>
        </w:rPr>
        <w:t xml:space="preserve">above </w:t>
      </w:r>
      <w:r w:rsidR="000C5879" w:rsidRPr="00BF2A6A">
        <w:rPr>
          <w:rFonts w:asciiTheme="minorHAnsi" w:hAnsiTheme="minorHAnsi" w:cstheme="minorHAnsi"/>
          <w:iCs/>
          <w:lang w:val="en-US"/>
        </w:rPr>
        <w:t>is</w:t>
      </w:r>
      <w:r w:rsidR="006443F3" w:rsidRPr="00BF2A6A">
        <w:rPr>
          <w:rFonts w:asciiTheme="minorHAnsi" w:hAnsiTheme="minorHAnsi" w:cstheme="minorHAnsi"/>
          <w:iCs/>
          <w:lang w:val="en-US"/>
        </w:rPr>
        <w:t xml:space="preserve"> not</w:t>
      </w:r>
      <w:r w:rsidR="000C5879" w:rsidRPr="00BF2A6A">
        <w:rPr>
          <w:rFonts w:asciiTheme="minorHAnsi" w:hAnsiTheme="minorHAnsi" w:cstheme="minorHAnsi"/>
          <w:iCs/>
          <w:lang w:val="en-US"/>
        </w:rPr>
        <w:t xml:space="preserve"> </w:t>
      </w:r>
      <w:r w:rsidR="00EE6784" w:rsidRPr="00BF2A6A">
        <w:rPr>
          <w:rFonts w:asciiTheme="minorHAnsi" w:hAnsiTheme="minorHAnsi" w:cstheme="minorHAnsi"/>
          <w:iCs/>
          <w:lang w:val="en-US"/>
        </w:rPr>
        <w:t>enough</w:t>
      </w:r>
      <w:r w:rsidR="001B7D82" w:rsidRPr="00BF2A6A">
        <w:rPr>
          <w:rFonts w:asciiTheme="minorHAnsi" w:hAnsiTheme="minorHAnsi" w:cstheme="minorHAnsi"/>
          <w:iCs/>
          <w:lang w:val="en-US"/>
        </w:rPr>
        <w:t xml:space="preserve"> to protect </w:t>
      </w:r>
      <w:r w:rsidR="00EE0A39">
        <w:rPr>
          <w:rFonts w:asciiTheme="minorHAnsi" w:hAnsiTheme="minorHAnsi" w:cstheme="minorHAnsi"/>
          <w:iCs/>
          <w:lang w:val="en-US"/>
        </w:rPr>
        <w:t>the rights of an</w:t>
      </w:r>
      <w:r w:rsidR="001B7D82" w:rsidRPr="00BF2A6A">
        <w:rPr>
          <w:rFonts w:asciiTheme="minorHAnsi" w:hAnsiTheme="minorHAnsi" w:cstheme="minorHAnsi"/>
          <w:iCs/>
          <w:lang w:val="en-US"/>
        </w:rPr>
        <w:t xml:space="preserve"> </w:t>
      </w:r>
      <w:r w:rsidR="00BF2A6A">
        <w:rPr>
          <w:rFonts w:asciiTheme="minorHAnsi" w:hAnsiTheme="minorHAnsi" w:cstheme="minorHAnsi"/>
          <w:iCs/>
          <w:lang w:val="en-US"/>
        </w:rPr>
        <w:t>extradited person</w:t>
      </w:r>
      <w:r w:rsidR="00EE6784" w:rsidRPr="00BF2A6A">
        <w:rPr>
          <w:rFonts w:asciiTheme="minorHAnsi" w:hAnsiTheme="minorHAnsi" w:cstheme="minorHAnsi"/>
          <w:iCs/>
          <w:lang w:val="en-US"/>
        </w:rPr>
        <w:t>.</w:t>
      </w:r>
      <w:r w:rsidR="00BF2A6A">
        <w:rPr>
          <w:rFonts w:asciiTheme="minorHAnsi" w:hAnsiTheme="minorHAnsi" w:cstheme="minorHAnsi"/>
          <w:iCs/>
          <w:lang w:val="en-US"/>
        </w:rPr>
        <w:t xml:space="preserve"> </w:t>
      </w:r>
    </w:p>
    <w:p w14:paraId="13F7908C" w14:textId="77777777" w:rsidR="00F475F4" w:rsidRPr="00650689" w:rsidRDefault="00F475F4" w:rsidP="00D87274">
      <w:pPr>
        <w:jc w:val="both"/>
        <w:rPr>
          <w:rFonts w:asciiTheme="minorHAnsi" w:hAnsiTheme="minorHAnsi"/>
          <w:color w:val="000000" w:themeColor="text1"/>
          <w:lang w:val="en-US"/>
        </w:rPr>
      </w:pPr>
    </w:p>
    <w:p w14:paraId="0348FF30" w14:textId="74F6CC91" w:rsidR="001576A8" w:rsidRDefault="00FD635C" w:rsidP="00DE6179">
      <w:pPr>
        <w:jc w:val="both"/>
        <w:rPr>
          <w:rFonts w:asciiTheme="minorHAnsi" w:hAnsiTheme="minorHAnsi" w:cstheme="minorHAnsi"/>
          <w:iCs/>
          <w:lang w:val="en-US"/>
        </w:rPr>
      </w:pPr>
      <w:r>
        <w:rPr>
          <w:rFonts w:asciiTheme="minorHAnsi" w:hAnsiTheme="minorHAnsi" w:cstheme="minorHAnsi"/>
          <w:iCs/>
          <w:lang w:val="en-US"/>
        </w:rPr>
        <w:t>One could invoke the age of the 1950 ECHR as a justification for this lack of transnational thinking. However, w</w:t>
      </w:r>
      <w:r w:rsidR="00BF2A6A">
        <w:rPr>
          <w:rFonts w:asciiTheme="minorHAnsi" w:hAnsiTheme="minorHAnsi" w:cstheme="minorHAnsi"/>
          <w:iCs/>
          <w:lang w:val="en-US"/>
        </w:rPr>
        <w:t xml:space="preserve">hen we </w:t>
      </w:r>
      <w:r>
        <w:rPr>
          <w:rFonts w:asciiTheme="minorHAnsi" w:hAnsiTheme="minorHAnsi" w:cstheme="minorHAnsi"/>
          <w:iCs/>
          <w:lang w:val="en-US"/>
        </w:rPr>
        <w:t>look to</w:t>
      </w:r>
      <w:r w:rsidR="00BF2A6A">
        <w:rPr>
          <w:rFonts w:asciiTheme="minorHAnsi" w:hAnsiTheme="minorHAnsi" w:cstheme="minorHAnsi"/>
          <w:iCs/>
          <w:lang w:val="en-US"/>
        </w:rPr>
        <w:t xml:space="preserve"> the other Europe</w:t>
      </w:r>
      <w:r>
        <w:rPr>
          <w:rFonts w:asciiTheme="minorHAnsi" w:hAnsiTheme="minorHAnsi" w:cstheme="minorHAnsi"/>
          <w:iCs/>
          <w:lang w:val="en-US"/>
        </w:rPr>
        <w:t xml:space="preserve"> </w:t>
      </w:r>
      <w:r w:rsidR="005437E4">
        <w:rPr>
          <w:rFonts w:asciiTheme="minorHAnsi" w:hAnsiTheme="minorHAnsi" w:cstheme="minorHAnsi"/>
          <w:iCs/>
          <w:lang w:val="en-US"/>
        </w:rPr>
        <w:t>–</w:t>
      </w:r>
      <w:r w:rsidR="00BF2A6A">
        <w:rPr>
          <w:rFonts w:asciiTheme="minorHAnsi" w:hAnsiTheme="minorHAnsi" w:cstheme="minorHAnsi"/>
          <w:iCs/>
          <w:lang w:val="en-US"/>
        </w:rPr>
        <w:t xml:space="preserve"> the European Union</w:t>
      </w:r>
      <w:r w:rsidR="005437E4">
        <w:rPr>
          <w:rFonts w:asciiTheme="minorHAnsi" w:hAnsiTheme="minorHAnsi" w:cstheme="minorHAnsi"/>
          <w:iCs/>
          <w:lang w:val="en-US"/>
        </w:rPr>
        <w:t xml:space="preserve"> –</w:t>
      </w:r>
      <w:r>
        <w:rPr>
          <w:rFonts w:asciiTheme="minorHAnsi" w:hAnsiTheme="minorHAnsi" w:cstheme="minorHAnsi"/>
          <w:iCs/>
          <w:lang w:val="en-US"/>
        </w:rPr>
        <w:t xml:space="preserve"> and its 2000 EU Charter of Fundamental Rights,</w:t>
      </w:r>
      <w:r w:rsidR="00DD1E6F">
        <w:rPr>
          <w:rStyle w:val="Appelnotedebasdep"/>
          <w:rFonts w:asciiTheme="minorHAnsi" w:hAnsiTheme="minorHAnsi" w:cstheme="minorHAnsi"/>
          <w:iCs/>
          <w:lang w:val="en-US"/>
        </w:rPr>
        <w:footnoteReference w:id="17"/>
      </w:r>
      <w:r>
        <w:rPr>
          <w:rFonts w:asciiTheme="minorHAnsi" w:hAnsiTheme="minorHAnsi" w:cstheme="minorHAnsi"/>
          <w:iCs/>
          <w:lang w:val="en-US"/>
        </w:rPr>
        <w:t xml:space="preserve"> legally binding </w:t>
      </w:r>
      <w:r w:rsidR="00375AC2">
        <w:rPr>
          <w:rFonts w:asciiTheme="minorHAnsi" w:hAnsiTheme="minorHAnsi" w:cstheme="minorHAnsi"/>
          <w:iCs/>
          <w:lang w:val="en-US"/>
        </w:rPr>
        <w:t>since</w:t>
      </w:r>
      <w:r>
        <w:rPr>
          <w:rFonts w:asciiTheme="minorHAnsi" w:hAnsiTheme="minorHAnsi" w:cstheme="minorHAnsi"/>
          <w:iCs/>
          <w:lang w:val="en-US"/>
        </w:rPr>
        <w:t xml:space="preserve"> the Lisbon Treaty</w:t>
      </w:r>
      <w:r w:rsidR="00DD1E6F">
        <w:rPr>
          <w:rFonts w:asciiTheme="minorHAnsi" w:hAnsiTheme="minorHAnsi" w:cstheme="minorHAnsi"/>
          <w:iCs/>
          <w:lang w:val="en-US"/>
        </w:rPr>
        <w:t>,</w:t>
      </w:r>
      <w:r w:rsidR="00DD1E6F">
        <w:rPr>
          <w:rStyle w:val="Appelnotedebasdep"/>
          <w:rFonts w:asciiTheme="minorHAnsi" w:hAnsiTheme="minorHAnsi" w:cstheme="minorHAnsi"/>
          <w:iCs/>
          <w:lang w:val="en-US"/>
        </w:rPr>
        <w:footnoteReference w:id="18"/>
      </w:r>
      <w:r w:rsidR="00BF2A6A">
        <w:rPr>
          <w:rFonts w:asciiTheme="minorHAnsi" w:hAnsiTheme="minorHAnsi" w:cstheme="minorHAnsi"/>
          <w:iCs/>
          <w:lang w:val="en-US"/>
        </w:rPr>
        <w:t xml:space="preserve"> things are only marginally better. The EU Charter </w:t>
      </w:r>
      <w:r w:rsidR="007114FD">
        <w:rPr>
          <w:rFonts w:asciiTheme="minorHAnsi" w:hAnsiTheme="minorHAnsi" w:cstheme="minorHAnsi"/>
          <w:iCs/>
          <w:lang w:val="en-US"/>
        </w:rPr>
        <w:t xml:space="preserve">replicates the catalogue of rights we find in the ECHR with a number of additions, but we do not find any </w:t>
      </w:r>
      <w:r w:rsidR="001576A8">
        <w:rPr>
          <w:rFonts w:asciiTheme="minorHAnsi" w:hAnsiTheme="minorHAnsi" w:cstheme="minorHAnsi"/>
          <w:iCs/>
          <w:lang w:val="en-US"/>
        </w:rPr>
        <w:t xml:space="preserve">additional </w:t>
      </w:r>
      <w:r w:rsidR="007114FD">
        <w:rPr>
          <w:rFonts w:asciiTheme="minorHAnsi" w:hAnsiTheme="minorHAnsi" w:cstheme="minorHAnsi"/>
          <w:iCs/>
          <w:lang w:val="en-US"/>
        </w:rPr>
        <w:t xml:space="preserve">specific safeguard for extradited people </w:t>
      </w:r>
      <w:r w:rsidR="001576A8">
        <w:rPr>
          <w:rFonts w:asciiTheme="minorHAnsi" w:hAnsiTheme="minorHAnsi" w:cstheme="minorHAnsi"/>
          <w:iCs/>
          <w:lang w:val="en-US"/>
        </w:rPr>
        <w:t xml:space="preserve">or persons caught in international investigations </w:t>
      </w:r>
      <w:r w:rsidR="007114FD">
        <w:rPr>
          <w:rFonts w:asciiTheme="minorHAnsi" w:hAnsiTheme="minorHAnsi" w:cstheme="minorHAnsi"/>
          <w:iCs/>
          <w:lang w:val="en-US"/>
        </w:rPr>
        <w:t xml:space="preserve">either. </w:t>
      </w:r>
    </w:p>
    <w:p w14:paraId="3419314D" w14:textId="59AE2DCE" w:rsidR="0040785E" w:rsidRDefault="00DE6179" w:rsidP="00DE6179">
      <w:pPr>
        <w:jc w:val="both"/>
        <w:rPr>
          <w:rFonts w:asciiTheme="minorHAnsi" w:hAnsiTheme="minorHAnsi" w:cstheme="minorHAnsi"/>
          <w:color w:val="000000" w:themeColor="text1"/>
          <w:lang w:val="en-US"/>
        </w:rPr>
      </w:pPr>
      <w:r>
        <w:rPr>
          <w:rFonts w:asciiTheme="minorHAnsi" w:hAnsiTheme="minorHAnsi" w:cstheme="minorHAnsi"/>
          <w:iCs/>
          <w:lang w:val="en-US"/>
        </w:rPr>
        <w:t xml:space="preserve">Like in the Convention, </w:t>
      </w:r>
      <w:r>
        <w:rPr>
          <w:rFonts w:asciiTheme="minorHAnsi" w:hAnsiTheme="minorHAnsi" w:cstheme="minorHAnsi"/>
          <w:color w:val="000000" w:themeColor="text1"/>
          <w:lang w:val="en-US"/>
        </w:rPr>
        <w:t xml:space="preserve">we do find the </w:t>
      </w:r>
      <w:r w:rsidRPr="00533D7F">
        <w:rPr>
          <w:rFonts w:asciiTheme="minorHAnsi" w:hAnsiTheme="minorHAnsi" w:cstheme="minorHAnsi"/>
          <w:i/>
          <w:iCs/>
          <w:color w:val="000000" w:themeColor="text1"/>
          <w:lang w:val="en-US"/>
        </w:rPr>
        <w:t>n</w:t>
      </w:r>
      <w:r>
        <w:rPr>
          <w:rFonts w:asciiTheme="minorHAnsi" w:hAnsiTheme="minorHAnsi" w:cstheme="minorHAnsi"/>
          <w:i/>
          <w:iCs/>
          <w:color w:val="000000" w:themeColor="text1"/>
          <w:lang w:val="en-US"/>
        </w:rPr>
        <w:t>e</w:t>
      </w:r>
      <w:r w:rsidRPr="00533D7F">
        <w:rPr>
          <w:rFonts w:asciiTheme="minorHAnsi" w:hAnsiTheme="minorHAnsi" w:cstheme="minorHAnsi"/>
          <w:i/>
          <w:iCs/>
          <w:color w:val="000000" w:themeColor="text1"/>
          <w:lang w:val="en-US"/>
        </w:rPr>
        <w:t xml:space="preserve"> bis in idem</w:t>
      </w:r>
      <w:r w:rsidRPr="00533D7F">
        <w:rPr>
          <w:rFonts w:asciiTheme="minorHAnsi" w:hAnsiTheme="minorHAnsi" w:cstheme="minorHAnsi"/>
          <w:color w:val="000000" w:themeColor="text1"/>
          <w:lang w:val="en-US"/>
        </w:rPr>
        <w:t xml:space="preserve"> principle </w:t>
      </w:r>
      <w:r>
        <w:rPr>
          <w:rFonts w:asciiTheme="minorHAnsi" w:hAnsiTheme="minorHAnsi" w:cstheme="minorHAnsi"/>
          <w:color w:val="000000" w:themeColor="text1"/>
          <w:lang w:val="en-US"/>
        </w:rPr>
        <w:t xml:space="preserve">mentioned in </w:t>
      </w:r>
      <w:r w:rsidRPr="00533D7F">
        <w:rPr>
          <w:rFonts w:asciiTheme="minorHAnsi" w:hAnsiTheme="minorHAnsi" w:cstheme="minorHAnsi"/>
          <w:color w:val="000000" w:themeColor="text1"/>
          <w:lang w:val="en-US"/>
        </w:rPr>
        <w:t>the EU</w:t>
      </w:r>
      <w:r w:rsidR="00DD1E6F">
        <w:rPr>
          <w:rFonts w:asciiTheme="minorHAnsi" w:hAnsiTheme="minorHAnsi" w:cstheme="minorHAnsi"/>
          <w:color w:val="000000" w:themeColor="text1"/>
          <w:lang w:val="en-US"/>
        </w:rPr>
        <w:t xml:space="preserve">. </w:t>
      </w:r>
      <w:r>
        <w:rPr>
          <w:rFonts w:asciiTheme="minorHAnsi" w:hAnsiTheme="minorHAnsi" w:cstheme="minorHAnsi"/>
          <w:iCs/>
          <w:lang w:val="en-US"/>
        </w:rPr>
        <w:t>Therefore</w:t>
      </w:r>
      <w:r w:rsidR="00131725">
        <w:rPr>
          <w:rFonts w:asciiTheme="minorHAnsi" w:hAnsiTheme="minorHAnsi" w:cstheme="minorHAnsi"/>
          <w:iCs/>
          <w:lang w:val="en-US"/>
        </w:rPr>
        <w:t>,</w:t>
      </w:r>
      <w:r>
        <w:rPr>
          <w:rFonts w:asciiTheme="minorHAnsi" w:hAnsiTheme="minorHAnsi" w:cstheme="minorHAnsi"/>
          <w:iCs/>
          <w:lang w:val="en-US"/>
        </w:rPr>
        <w:t xml:space="preserve"> this one ground for refusal of extradition, which is meant to protect, among other aspects, the position of the extradited person, has </w:t>
      </w:r>
      <w:r w:rsidR="00694A4F">
        <w:rPr>
          <w:rFonts w:asciiTheme="minorHAnsi" w:hAnsiTheme="minorHAnsi" w:cstheme="minorHAnsi"/>
          <w:iCs/>
          <w:lang w:val="en-US"/>
        </w:rPr>
        <w:t xml:space="preserve">also </w:t>
      </w:r>
      <w:r>
        <w:rPr>
          <w:rFonts w:asciiTheme="minorHAnsi" w:hAnsiTheme="minorHAnsi" w:cstheme="minorHAnsi"/>
          <w:iCs/>
          <w:lang w:val="en-US"/>
        </w:rPr>
        <w:t xml:space="preserve">been elevated to a </w:t>
      </w:r>
      <w:r w:rsidR="000E4EAA">
        <w:rPr>
          <w:rFonts w:asciiTheme="minorHAnsi" w:hAnsiTheme="minorHAnsi" w:cstheme="minorHAnsi"/>
          <w:iCs/>
          <w:lang w:val="en-US"/>
        </w:rPr>
        <w:t>human</w:t>
      </w:r>
      <w:r>
        <w:rPr>
          <w:rFonts w:asciiTheme="minorHAnsi" w:hAnsiTheme="minorHAnsi" w:cstheme="minorHAnsi"/>
          <w:iCs/>
          <w:lang w:val="en-US"/>
        </w:rPr>
        <w:t xml:space="preserve"> right in the EU law catalogue of fundamental rights. Interestingly, </w:t>
      </w:r>
      <w:r w:rsidR="00DC59D7" w:rsidRPr="00533D7F">
        <w:rPr>
          <w:rFonts w:asciiTheme="minorHAnsi" w:hAnsiTheme="minorHAnsi" w:cstheme="minorHAnsi"/>
          <w:color w:val="000000" w:themeColor="text1"/>
          <w:lang w:val="en-US"/>
        </w:rPr>
        <w:t>the integration of the Schengen Acquis into the EU legal framework,</w:t>
      </w:r>
      <w:r w:rsidR="00DD1E6F">
        <w:rPr>
          <w:rFonts w:asciiTheme="minorHAnsi" w:hAnsiTheme="minorHAnsi" w:cstheme="minorHAnsi"/>
          <w:color w:val="000000" w:themeColor="text1"/>
          <w:lang w:val="en-US"/>
        </w:rPr>
        <w:t xml:space="preserve"> via the Convention on the Implementation of the Schengen Agreement,</w:t>
      </w:r>
      <w:r w:rsidR="00DC59D7" w:rsidRPr="00533D7F">
        <w:rPr>
          <w:rFonts w:asciiTheme="minorHAnsi" w:hAnsiTheme="minorHAnsi" w:cstheme="minorHAnsi"/>
          <w:color w:val="000000" w:themeColor="text1"/>
          <w:lang w:val="en-US"/>
        </w:rPr>
        <w:t xml:space="preserve"> coupled to the development of the mutual recognition principle, and of the Area of Freedom, Security and Justice</w:t>
      </w:r>
      <w:r w:rsidR="00DC59D7">
        <w:rPr>
          <w:rFonts w:asciiTheme="minorHAnsi" w:hAnsiTheme="minorHAnsi" w:cstheme="minorHAnsi"/>
          <w:color w:val="000000" w:themeColor="text1"/>
          <w:lang w:val="en-US"/>
        </w:rPr>
        <w:t xml:space="preserve"> went even further </w:t>
      </w:r>
      <w:r w:rsidR="00034017">
        <w:rPr>
          <w:rFonts w:asciiTheme="minorHAnsi" w:hAnsiTheme="minorHAnsi" w:cstheme="minorHAnsi"/>
          <w:color w:val="000000" w:themeColor="text1"/>
          <w:lang w:val="en-US"/>
        </w:rPr>
        <w:t xml:space="preserve">than in the Council of Europe framework </w:t>
      </w:r>
      <w:r w:rsidR="00DC59D7">
        <w:rPr>
          <w:rFonts w:asciiTheme="minorHAnsi" w:hAnsiTheme="minorHAnsi" w:cstheme="minorHAnsi"/>
          <w:color w:val="000000" w:themeColor="text1"/>
          <w:lang w:val="en-US"/>
        </w:rPr>
        <w:t>and</w:t>
      </w:r>
      <w:r w:rsidR="00DC59D7" w:rsidRPr="00533D7F">
        <w:rPr>
          <w:rFonts w:asciiTheme="minorHAnsi" w:hAnsiTheme="minorHAnsi" w:cstheme="minorHAnsi"/>
          <w:color w:val="000000" w:themeColor="text1"/>
          <w:lang w:val="en-US"/>
        </w:rPr>
        <w:t xml:space="preserve"> gave the </w:t>
      </w:r>
      <w:r w:rsidR="00DC59D7" w:rsidRPr="00533D7F">
        <w:rPr>
          <w:rFonts w:asciiTheme="minorHAnsi" w:hAnsiTheme="minorHAnsi" w:cstheme="minorHAnsi"/>
          <w:i/>
          <w:iCs/>
          <w:color w:val="000000" w:themeColor="text1"/>
          <w:lang w:val="en-US"/>
        </w:rPr>
        <w:t>n</w:t>
      </w:r>
      <w:r w:rsidR="00DC59D7">
        <w:rPr>
          <w:rFonts w:asciiTheme="minorHAnsi" w:hAnsiTheme="minorHAnsi" w:cstheme="minorHAnsi"/>
          <w:i/>
          <w:iCs/>
          <w:color w:val="000000" w:themeColor="text1"/>
          <w:lang w:val="en-US"/>
        </w:rPr>
        <w:t>e</w:t>
      </w:r>
      <w:r w:rsidR="00DC59D7" w:rsidRPr="00533D7F">
        <w:rPr>
          <w:rFonts w:asciiTheme="minorHAnsi" w:hAnsiTheme="minorHAnsi" w:cstheme="minorHAnsi"/>
          <w:i/>
          <w:iCs/>
          <w:color w:val="000000" w:themeColor="text1"/>
          <w:lang w:val="en-US"/>
        </w:rPr>
        <w:t xml:space="preserve"> bis in idem</w:t>
      </w:r>
      <w:r w:rsidR="00DC59D7" w:rsidRPr="00533D7F">
        <w:rPr>
          <w:rFonts w:asciiTheme="minorHAnsi" w:hAnsiTheme="minorHAnsi" w:cstheme="minorHAnsi"/>
          <w:color w:val="000000" w:themeColor="text1"/>
          <w:lang w:val="en-US"/>
        </w:rPr>
        <w:t xml:space="preserve"> principle a more transnational scope.</w:t>
      </w:r>
      <w:r w:rsidR="00DD1E6F" w:rsidRPr="00DD1E6F">
        <w:rPr>
          <w:rStyle w:val="Appelnotedebasdep"/>
          <w:rFonts w:asciiTheme="minorHAnsi" w:hAnsiTheme="minorHAnsi" w:cstheme="minorHAnsi"/>
          <w:color w:val="000000" w:themeColor="text1"/>
          <w:lang w:val="en-US"/>
        </w:rPr>
        <w:t xml:space="preserve"> </w:t>
      </w:r>
      <w:r w:rsidR="00DD1E6F" w:rsidRPr="00533D7F">
        <w:rPr>
          <w:rStyle w:val="Appelnotedebasdep"/>
          <w:rFonts w:asciiTheme="minorHAnsi" w:hAnsiTheme="minorHAnsi" w:cstheme="minorHAnsi"/>
          <w:color w:val="000000" w:themeColor="text1"/>
          <w:lang w:val="en-US"/>
        </w:rPr>
        <w:footnoteReference w:id="19"/>
      </w:r>
      <w:r w:rsidR="00DC59D7">
        <w:rPr>
          <w:rFonts w:asciiTheme="minorHAnsi" w:hAnsiTheme="minorHAnsi" w:cstheme="minorHAnsi"/>
          <w:color w:val="000000" w:themeColor="text1"/>
          <w:lang w:val="en-US"/>
        </w:rPr>
        <w:t xml:space="preserve"> Art</w:t>
      </w:r>
      <w:r w:rsidR="008F5105">
        <w:rPr>
          <w:rFonts w:asciiTheme="minorHAnsi" w:hAnsiTheme="minorHAnsi" w:cstheme="minorHAnsi"/>
          <w:color w:val="000000" w:themeColor="text1"/>
          <w:lang w:val="en-US"/>
        </w:rPr>
        <w:t>icle</w:t>
      </w:r>
      <w:r w:rsidR="00DC59D7">
        <w:rPr>
          <w:rFonts w:asciiTheme="minorHAnsi" w:hAnsiTheme="minorHAnsi" w:cstheme="minorHAnsi"/>
          <w:color w:val="000000" w:themeColor="text1"/>
          <w:lang w:val="en-US"/>
        </w:rPr>
        <w:t xml:space="preserve"> 3 of the Convention </w:t>
      </w:r>
      <w:r w:rsidR="00034017">
        <w:rPr>
          <w:rFonts w:asciiTheme="minorHAnsi" w:hAnsiTheme="minorHAnsi" w:cstheme="minorHAnsi"/>
          <w:color w:val="000000" w:themeColor="text1"/>
          <w:lang w:val="en-US"/>
        </w:rPr>
        <w:t>indeed states that</w:t>
      </w:r>
    </w:p>
    <w:p w14:paraId="19582C9F" w14:textId="77777777" w:rsidR="0040785E" w:rsidRDefault="0040785E" w:rsidP="00DE6179">
      <w:pPr>
        <w:jc w:val="both"/>
        <w:rPr>
          <w:rFonts w:ascii="Calibri" w:hAnsi="Calibri" w:cs="Calibri"/>
          <w:color w:val="000000" w:themeColor="text1"/>
          <w:lang w:val="en-US"/>
        </w:rPr>
      </w:pPr>
    </w:p>
    <w:p w14:paraId="3C1E8B50" w14:textId="573790FE" w:rsidR="0040785E" w:rsidRPr="00034017" w:rsidRDefault="00DC59D7" w:rsidP="00650689">
      <w:pPr>
        <w:ind w:left="567"/>
        <w:jc w:val="both"/>
        <w:rPr>
          <w:rFonts w:ascii="Calibri" w:hAnsi="Calibri" w:cs="Calibri"/>
          <w:i/>
          <w:iCs/>
          <w:lang w:val="en-US" w:eastAsia="en-US"/>
        </w:rPr>
      </w:pPr>
      <w:r w:rsidRPr="00034017">
        <w:rPr>
          <w:rFonts w:ascii="Calibri" w:hAnsi="Calibri" w:cs="Calibri"/>
          <w:i/>
          <w:iCs/>
          <w:lang w:val="en-US" w:eastAsia="en-US"/>
        </w:rPr>
        <w:t>A person whose trial has been finally disposed of in one Contracting Party may not be prosecuted in another Contracting Party for the same acts provided that, if a penalty has been imposed, it has been enforced, is actually in the process of being enforced or can no longer be enforced under the laws of the sentencing Contracting Party.</w:t>
      </w:r>
    </w:p>
    <w:p w14:paraId="22A83677" w14:textId="77777777" w:rsidR="0040785E" w:rsidRPr="00650689" w:rsidRDefault="0040785E" w:rsidP="00DE6179">
      <w:pPr>
        <w:jc w:val="both"/>
        <w:rPr>
          <w:rFonts w:ascii="Calibri" w:hAnsi="Calibri" w:cs="Calibri"/>
          <w:lang w:val="en-US" w:eastAsia="en-US"/>
        </w:rPr>
      </w:pPr>
    </w:p>
    <w:p w14:paraId="61745B61" w14:textId="28AD9752" w:rsidR="001576A8" w:rsidRDefault="006B3E17" w:rsidP="00DE6179">
      <w:pPr>
        <w:jc w:val="both"/>
        <w:rPr>
          <w:rFonts w:asciiTheme="minorHAnsi" w:hAnsiTheme="minorHAnsi" w:cstheme="minorHAnsi"/>
          <w:color w:val="000000" w:themeColor="text1"/>
          <w:lang w:val="en-US"/>
        </w:rPr>
      </w:pPr>
      <w:r>
        <w:rPr>
          <w:rFonts w:ascii="Calibri" w:hAnsi="Calibri"/>
          <w:lang w:val="en-US"/>
        </w:rPr>
        <w:t>So, w</w:t>
      </w:r>
      <w:r w:rsidR="00DC59D7" w:rsidRPr="003075CC">
        <w:rPr>
          <w:rFonts w:ascii="Calibri" w:hAnsi="Calibri"/>
          <w:lang w:val="en-US"/>
        </w:rPr>
        <w:t xml:space="preserve">hen applying the </w:t>
      </w:r>
      <w:r w:rsidR="00DC59D7" w:rsidRPr="00A25F4B">
        <w:rPr>
          <w:rFonts w:ascii="Calibri" w:hAnsi="Calibri"/>
          <w:i/>
          <w:lang w:val="en-US"/>
        </w:rPr>
        <w:t>ne bis in idem</w:t>
      </w:r>
      <w:r w:rsidR="00DC59D7" w:rsidRPr="003075CC">
        <w:rPr>
          <w:rFonts w:ascii="Calibri" w:hAnsi="Calibri"/>
          <w:lang w:val="en-US"/>
        </w:rPr>
        <w:t xml:space="preserve"> principle,</w:t>
      </w:r>
      <w:r w:rsidR="00DD1E6F" w:rsidRPr="003075CC">
        <w:rPr>
          <w:rFonts w:ascii="Calibri" w:hAnsi="Calibri"/>
          <w:lang w:val="en-US"/>
        </w:rPr>
        <w:t xml:space="preserve"> including when considering whether the application of this principle can stop the extradition of a person present on its territory,</w:t>
      </w:r>
      <w:r w:rsidR="00DC59D7" w:rsidRPr="003075CC">
        <w:rPr>
          <w:rFonts w:ascii="Calibri" w:hAnsi="Calibri"/>
          <w:lang w:val="en-US"/>
        </w:rPr>
        <w:t xml:space="preserve"> a domestic judge </w:t>
      </w:r>
      <w:r w:rsidR="00690DFF">
        <w:rPr>
          <w:rFonts w:ascii="Calibri" w:hAnsi="Calibri" w:cs="Calibri"/>
          <w:lang w:val="en-US" w:eastAsia="en-US"/>
        </w:rPr>
        <w:t>must consider</w:t>
      </w:r>
      <w:r w:rsidR="00DC59D7" w:rsidRPr="00650689">
        <w:rPr>
          <w:rFonts w:ascii="Calibri" w:hAnsi="Calibri" w:cs="Calibri"/>
          <w:lang w:val="en-US" w:eastAsia="en-US"/>
        </w:rPr>
        <w:t xml:space="preserve"> </w:t>
      </w:r>
      <w:r w:rsidR="00DC59D7" w:rsidRPr="003075CC">
        <w:rPr>
          <w:rFonts w:ascii="Calibri" w:hAnsi="Calibri"/>
          <w:lang w:val="en-US"/>
        </w:rPr>
        <w:t xml:space="preserve">convictions not only in one state, but in all states of the </w:t>
      </w:r>
      <w:r w:rsidR="00DC59D7" w:rsidRPr="003075CC">
        <w:rPr>
          <w:rFonts w:ascii="Calibri" w:hAnsi="Calibri"/>
          <w:lang w:val="en-US"/>
        </w:rPr>
        <w:lastRenderedPageBreak/>
        <w:t>Schengen Area.</w:t>
      </w:r>
      <w:r w:rsidR="00DC59D7" w:rsidRPr="003075CC">
        <w:rPr>
          <w:lang w:val="en-US"/>
        </w:rPr>
        <w:t xml:space="preserve"> </w:t>
      </w:r>
      <w:r w:rsidR="00DE6179" w:rsidRPr="00533D7F">
        <w:rPr>
          <w:rFonts w:asciiTheme="minorHAnsi" w:hAnsiTheme="minorHAnsi" w:cstheme="minorHAnsi"/>
          <w:color w:val="000000" w:themeColor="text1"/>
          <w:lang w:val="en-US"/>
        </w:rPr>
        <w:t xml:space="preserve">The EU </w:t>
      </w:r>
      <w:r w:rsidR="00DC59D7">
        <w:rPr>
          <w:rFonts w:asciiTheme="minorHAnsi" w:hAnsiTheme="minorHAnsi" w:cstheme="minorHAnsi"/>
          <w:color w:val="000000" w:themeColor="text1"/>
          <w:lang w:val="en-US"/>
        </w:rPr>
        <w:t xml:space="preserve">thus shaped the </w:t>
      </w:r>
      <w:r w:rsidR="00DC59D7" w:rsidRPr="00A25F4B">
        <w:rPr>
          <w:rFonts w:asciiTheme="minorHAnsi" w:hAnsiTheme="minorHAnsi"/>
          <w:i/>
          <w:color w:val="000000" w:themeColor="text1"/>
          <w:lang w:val="en-US"/>
        </w:rPr>
        <w:t>ne bis in idem</w:t>
      </w:r>
      <w:r w:rsidR="00DC59D7">
        <w:rPr>
          <w:rFonts w:asciiTheme="minorHAnsi" w:hAnsiTheme="minorHAnsi" w:cstheme="minorHAnsi"/>
          <w:color w:val="000000" w:themeColor="text1"/>
          <w:lang w:val="en-US"/>
        </w:rPr>
        <w:t xml:space="preserve"> principle, taking into account free movement of persons across the EU and the general idea of mutual recognition, which requires states to consider judicial decisions taken by foreign authorities as equivalent to the ones taken by domestic authorities</w:t>
      </w:r>
      <w:r w:rsidR="00DE6179" w:rsidRPr="00533D7F">
        <w:rPr>
          <w:rFonts w:asciiTheme="minorHAnsi" w:hAnsiTheme="minorHAnsi" w:cstheme="minorHAnsi"/>
          <w:color w:val="000000" w:themeColor="text1"/>
          <w:lang w:val="en-US"/>
        </w:rPr>
        <w:t>.</w:t>
      </w:r>
      <w:r w:rsidR="00DE6179" w:rsidRPr="00533D7F">
        <w:rPr>
          <w:rStyle w:val="Appelnotedebasdep"/>
          <w:rFonts w:asciiTheme="minorHAnsi" w:hAnsiTheme="minorHAnsi" w:cstheme="minorHAnsi"/>
          <w:color w:val="000000" w:themeColor="text1"/>
          <w:lang w:val="en-US"/>
        </w:rPr>
        <w:footnoteReference w:id="20"/>
      </w:r>
      <w:r w:rsidR="00DE6179" w:rsidRPr="00533D7F">
        <w:rPr>
          <w:rFonts w:asciiTheme="minorHAnsi" w:hAnsiTheme="minorHAnsi" w:cstheme="minorHAnsi"/>
          <w:color w:val="000000" w:themeColor="text1"/>
          <w:lang w:val="en-US"/>
        </w:rPr>
        <w:t xml:space="preserve"> </w:t>
      </w:r>
    </w:p>
    <w:p w14:paraId="565EAE01" w14:textId="77777777" w:rsidR="001576A8" w:rsidRDefault="001576A8" w:rsidP="00DE6179">
      <w:pPr>
        <w:jc w:val="both"/>
        <w:rPr>
          <w:rFonts w:asciiTheme="minorHAnsi" w:hAnsiTheme="minorHAnsi" w:cstheme="minorHAnsi"/>
          <w:color w:val="000000" w:themeColor="text1"/>
          <w:lang w:val="en-US"/>
        </w:rPr>
      </w:pPr>
    </w:p>
    <w:p w14:paraId="49E2487B" w14:textId="0D78E8C5" w:rsidR="00DE6179" w:rsidRPr="006C10E9" w:rsidRDefault="00DE6179" w:rsidP="00DE6179">
      <w:pPr>
        <w:jc w:val="both"/>
        <w:rPr>
          <w:rFonts w:asciiTheme="minorHAnsi" w:hAnsiTheme="minorHAnsi"/>
          <w:lang w:val="en-US"/>
        </w:rPr>
      </w:pPr>
      <w:r w:rsidRPr="00533D7F">
        <w:rPr>
          <w:rFonts w:asciiTheme="minorHAnsi" w:hAnsiTheme="minorHAnsi" w:cstheme="minorHAnsi"/>
          <w:color w:val="000000" w:themeColor="text1"/>
          <w:lang w:val="en-US"/>
        </w:rPr>
        <w:t xml:space="preserve">Although there is still no </w:t>
      </w:r>
      <w:r w:rsidRPr="006C10E9">
        <w:rPr>
          <w:rFonts w:asciiTheme="minorHAnsi" w:hAnsiTheme="minorHAnsi" w:cstheme="minorHAnsi"/>
          <w:color w:val="000000" w:themeColor="text1"/>
          <w:lang w:val="en-US"/>
        </w:rPr>
        <w:t xml:space="preserve">common European standard on the application of the </w:t>
      </w:r>
      <w:r w:rsidRPr="006C10E9">
        <w:rPr>
          <w:rFonts w:asciiTheme="minorHAnsi" w:hAnsiTheme="minorHAnsi" w:cstheme="minorHAnsi"/>
          <w:i/>
          <w:iCs/>
          <w:color w:val="000000" w:themeColor="text1"/>
          <w:lang w:val="en-US"/>
        </w:rPr>
        <w:t>ne bis in idem</w:t>
      </w:r>
      <w:r w:rsidRPr="006C10E9">
        <w:rPr>
          <w:rFonts w:asciiTheme="minorHAnsi" w:hAnsiTheme="minorHAnsi" w:cstheme="minorHAnsi"/>
          <w:color w:val="000000" w:themeColor="text1"/>
          <w:lang w:val="en-US"/>
        </w:rPr>
        <w:t xml:space="preserve"> principle,</w:t>
      </w:r>
      <w:r w:rsidRPr="006C10E9">
        <w:rPr>
          <w:rStyle w:val="Appelnotedebasdep"/>
          <w:rFonts w:asciiTheme="minorHAnsi" w:hAnsiTheme="minorHAnsi" w:cstheme="minorHAnsi"/>
          <w:color w:val="000000" w:themeColor="text1"/>
          <w:lang w:val="en-US"/>
        </w:rPr>
        <w:footnoteReference w:id="21"/>
      </w:r>
      <w:r w:rsidRPr="006C10E9">
        <w:rPr>
          <w:rFonts w:asciiTheme="minorHAnsi" w:hAnsiTheme="minorHAnsi" w:cstheme="minorHAnsi"/>
          <w:color w:val="000000" w:themeColor="text1"/>
          <w:lang w:val="en-US"/>
        </w:rPr>
        <w:t xml:space="preserve"> this basic observation stands: with the recognition of </w:t>
      </w:r>
      <w:r w:rsidRPr="006C10E9">
        <w:rPr>
          <w:rFonts w:asciiTheme="minorHAnsi" w:hAnsiTheme="minorHAnsi" w:cstheme="minorHAnsi"/>
          <w:i/>
          <w:iCs/>
          <w:color w:val="000000" w:themeColor="text1"/>
          <w:lang w:val="en-US"/>
        </w:rPr>
        <w:t>ne bis in idem</w:t>
      </w:r>
      <w:r w:rsidRPr="006C10E9">
        <w:rPr>
          <w:rFonts w:asciiTheme="minorHAnsi" w:hAnsiTheme="minorHAnsi" w:cstheme="minorHAnsi"/>
          <w:color w:val="000000" w:themeColor="text1"/>
          <w:lang w:val="en-US"/>
        </w:rPr>
        <w:t xml:space="preserve"> as a transnational right in the Charter and the European Convention on Human Rights, we </w:t>
      </w:r>
      <w:r w:rsidR="00E37F91" w:rsidRPr="006C10E9">
        <w:rPr>
          <w:rFonts w:asciiTheme="minorHAnsi" w:hAnsiTheme="minorHAnsi" w:cstheme="minorHAnsi"/>
          <w:color w:val="000000" w:themeColor="text1"/>
          <w:lang w:val="en-US"/>
        </w:rPr>
        <w:t>–</w:t>
      </w:r>
      <w:r w:rsidRPr="006C10E9">
        <w:rPr>
          <w:rFonts w:asciiTheme="minorHAnsi" w:hAnsiTheme="minorHAnsi" w:cstheme="minorHAnsi"/>
          <w:color w:val="000000" w:themeColor="text1"/>
          <w:lang w:val="en-US"/>
        </w:rPr>
        <w:t xml:space="preserve"> the Western legal system</w:t>
      </w:r>
      <w:r w:rsidR="00E37F91" w:rsidRPr="006C10E9">
        <w:rPr>
          <w:rFonts w:asciiTheme="minorHAnsi" w:hAnsiTheme="minorHAnsi" w:cstheme="minorHAnsi"/>
          <w:color w:val="000000" w:themeColor="text1"/>
          <w:lang w:val="en-US"/>
        </w:rPr>
        <w:t xml:space="preserve"> –</w:t>
      </w:r>
      <w:r w:rsidRPr="006C10E9">
        <w:rPr>
          <w:rFonts w:asciiTheme="minorHAnsi" w:hAnsiTheme="minorHAnsi" w:cstheme="minorHAnsi"/>
          <w:color w:val="000000" w:themeColor="text1"/>
          <w:lang w:val="en-US"/>
        </w:rPr>
        <w:t xml:space="preserve"> finally obtained </w:t>
      </w:r>
      <w:r w:rsidR="00CC757A" w:rsidRPr="006C10E9">
        <w:rPr>
          <w:rFonts w:asciiTheme="minorHAnsi" w:hAnsiTheme="minorHAnsi" w:cstheme="minorHAnsi"/>
          <w:color w:val="000000" w:themeColor="text1"/>
          <w:lang w:val="en-US"/>
        </w:rPr>
        <w:t>the</w:t>
      </w:r>
      <w:r w:rsidRPr="006C10E9">
        <w:rPr>
          <w:rFonts w:asciiTheme="minorHAnsi" w:hAnsiTheme="minorHAnsi" w:cstheme="minorHAnsi"/>
          <w:color w:val="000000" w:themeColor="text1"/>
          <w:lang w:val="en-US"/>
        </w:rPr>
        <w:t xml:space="preserve"> first  fundamental or human right that is genuinely transnational and meant to address possible injustices to individuals confronted with transnational cooperation mechanisms between states. </w:t>
      </w:r>
      <w:r w:rsidR="00DC59D7" w:rsidRPr="006C10E9">
        <w:rPr>
          <w:rFonts w:asciiTheme="minorHAnsi" w:hAnsiTheme="minorHAnsi" w:cstheme="minorHAnsi"/>
          <w:color w:val="000000" w:themeColor="text1"/>
          <w:lang w:val="en-US"/>
        </w:rPr>
        <w:t>Beside this principle however, there is no provision in either the ECHR or the EU Charter explicitly proscribing specific protection for in</w:t>
      </w:r>
      <w:r w:rsidR="0019692D" w:rsidRPr="006C10E9">
        <w:rPr>
          <w:rFonts w:asciiTheme="minorHAnsi" w:hAnsiTheme="minorHAnsi" w:cstheme="minorHAnsi"/>
          <w:color w:val="000000" w:themeColor="text1"/>
          <w:lang w:val="en-US"/>
        </w:rPr>
        <w:t xml:space="preserve">dividuals caught in extradition </w:t>
      </w:r>
      <w:r w:rsidR="001576A8" w:rsidRPr="006C10E9">
        <w:rPr>
          <w:rFonts w:asciiTheme="minorHAnsi" w:hAnsiTheme="minorHAnsi" w:cstheme="minorHAnsi"/>
          <w:color w:val="000000" w:themeColor="text1"/>
          <w:lang w:val="en-US"/>
        </w:rPr>
        <w:t xml:space="preserve">or mutual assistance </w:t>
      </w:r>
      <w:r w:rsidR="0019692D" w:rsidRPr="006C10E9">
        <w:rPr>
          <w:rFonts w:asciiTheme="minorHAnsi" w:hAnsiTheme="minorHAnsi" w:cstheme="minorHAnsi"/>
          <w:color w:val="000000" w:themeColor="text1"/>
          <w:lang w:val="en-US"/>
        </w:rPr>
        <w:t>proceedings.</w:t>
      </w:r>
    </w:p>
    <w:p w14:paraId="1972E41E" w14:textId="77777777" w:rsidR="00CF5610" w:rsidRPr="006C10E9" w:rsidRDefault="00CF5610" w:rsidP="00DE6179">
      <w:pPr>
        <w:jc w:val="both"/>
        <w:rPr>
          <w:rFonts w:asciiTheme="minorHAnsi" w:hAnsiTheme="minorHAnsi" w:cstheme="minorHAnsi"/>
          <w:iCs/>
          <w:lang w:val="en-US"/>
        </w:rPr>
      </w:pPr>
    </w:p>
    <w:p w14:paraId="0DA7894A" w14:textId="00DCA8C3" w:rsidR="0036446B" w:rsidRPr="0019692D" w:rsidRDefault="0019692D" w:rsidP="0019692D">
      <w:pPr>
        <w:pStyle w:val="Commentaire"/>
        <w:jc w:val="both"/>
        <w:rPr>
          <w:rFonts w:cstheme="minorHAnsi"/>
          <w:iCs/>
          <w:sz w:val="24"/>
          <w:szCs w:val="24"/>
          <w:lang w:val="en-US"/>
        </w:rPr>
      </w:pPr>
      <w:r w:rsidRPr="006C10E9">
        <w:rPr>
          <w:sz w:val="24"/>
          <w:szCs w:val="24"/>
          <w:lang w:val="en-US"/>
        </w:rPr>
        <w:t>One would have expected more fundamental protection for</w:t>
      </w:r>
      <w:r w:rsidR="006C56F3" w:rsidRPr="006C10E9">
        <w:rPr>
          <w:sz w:val="24"/>
          <w:szCs w:val="24"/>
          <w:lang w:val="en-US"/>
        </w:rPr>
        <w:t xml:space="preserve"> these</w:t>
      </w:r>
      <w:r w:rsidRPr="006C10E9">
        <w:rPr>
          <w:sz w:val="24"/>
          <w:szCs w:val="24"/>
          <w:lang w:val="en-US"/>
        </w:rPr>
        <w:t xml:space="preserve"> individuals</w:t>
      </w:r>
      <w:r w:rsidR="00721A69">
        <w:rPr>
          <w:sz w:val="24"/>
          <w:szCs w:val="24"/>
          <w:lang w:val="en-US"/>
        </w:rPr>
        <w:t xml:space="preserve"> caught in transnational</w:t>
      </w:r>
      <w:r w:rsidRPr="006C10E9">
        <w:rPr>
          <w:sz w:val="24"/>
          <w:szCs w:val="24"/>
          <w:lang w:val="en-US"/>
        </w:rPr>
        <w:t xml:space="preserve"> litigation</w:t>
      </w:r>
      <w:r w:rsidR="00721A69">
        <w:rPr>
          <w:sz w:val="24"/>
          <w:szCs w:val="24"/>
          <w:lang w:val="en-US"/>
        </w:rPr>
        <w:t>s</w:t>
      </w:r>
      <w:r w:rsidR="006C10E9" w:rsidRPr="006C10E9">
        <w:rPr>
          <w:sz w:val="24"/>
          <w:szCs w:val="24"/>
          <w:lang w:val="en-US"/>
        </w:rPr>
        <w:t xml:space="preserve"> t</w:t>
      </w:r>
      <w:r w:rsidRPr="006C10E9">
        <w:rPr>
          <w:sz w:val="24"/>
          <w:szCs w:val="24"/>
          <w:lang w:val="en-US"/>
        </w:rPr>
        <w:t xml:space="preserve">han just the </w:t>
      </w:r>
      <w:r w:rsidR="00A25F4B" w:rsidRPr="006C10E9">
        <w:rPr>
          <w:i/>
          <w:iCs/>
          <w:sz w:val="24"/>
          <w:szCs w:val="24"/>
          <w:lang w:val="en-US"/>
        </w:rPr>
        <w:t>n</w:t>
      </w:r>
      <w:r w:rsidRPr="006C10E9">
        <w:rPr>
          <w:i/>
          <w:iCs/>
          <w:sz w:val="24"/>
          <w:szCs w:val="24"/>
          <w:lang w:val="en-US"/>
        </w:rPr>
        <w:t xml:space="preserve">e </w:t>
      </w:r>
      <w:r w:rsidR="00A25F4B" w:rsidRPr="006C10E9">
        <w:rPr>
          <w:i/>
          <w:iCs/>
          <w:sz w:val="24"/>
          <w:szCs w:val="24"/>
          <w:lang w:val="en-US"/>
        </w:rPr>
        <w:t>b</w:t>
      </w:r>
      <w:r w:rsidRPr="006C10E9">
        <w:rPr>
          <w:i/>
          <w:iCs/>
          <w:sz w:val="24"/>
          <w:szCs w:val="24"/>
          <w:lang w:val="en-US"/>
        </w:rPr>
        <w:t>is</w:t>
      </w:r>
      <w:r w:rsidRPr="006C10E9">
        <w:rPr>
          <w:i/>
          <w:sz w:val="24"/>
          <w:szCs w:val="24"/>
          <w:lang w:val="en-US"/>
        </w:rPr>
        <w:t xml:space="preserve"> in </w:t>
      </w:r>
      <w:r w:rsidR="001576A8" w:rsidRPr="006C10E9">
        <w:rPr>
          <w:i/>
          <w:iCs/>
          <w:sz w:val="24"/>
          <w:szCs w:val="24"/>
          <w:lang w:val="en-US"/>
        </w:rPr>
        <w:t>i</w:t>
      </w:r>
      <w:r w:rsidRPr="006C10E9">
        <w:rPr>
          <w:i/>
          <w:iCs/>
          <w:sz w:val="24"/>
          <w:szCs w:val="24"/>
          <w:lang w:val="en-US"/>
        </w:rPr>
        <w:t>dem</w:t>
      </w:r>
      <w:r w:rsidR="006C10E9" w:rsidRPr="006C10E9">
        <w:rPr>
          <w:i/>
          <w:iCs/>
          <w:sz w:val="24"/>
          <w:szCs w:val="24"/>
          <w:lang w:val="en-US"/>
        </w:rPr>
        <w:t xml:space="preserve"> </w:t>
      </w:r>
      <w:r w:rsidRPr="006C10E9">
        <w:rPr>
          <w:sz w:val="24"/>
          <w:szCs w:val="24"/>
          <w:lang w:val="en-US"/>
        </w:rPr>
        <w:t>principle, from the ECHR</w:t>
      </w:r>
      <w:r w:rsidR="00CC757A" w:rsidRPr="006C10E9">
        <w:rPr>
          <w:sz w:val="24"/>
          <w:szCs w:val="24"/>
          <w:lang w:val="en-US"/>
        </w:rPr>
        <w:t xml:space="preserve"> and even more so</w:t>
      </w:r>
      <w:r w:rsidRPr="006C10E9">
        <w:rPr>
          <w:sz w:val="24"/>
          <w:szCs w:val="24"/>
          <w:lang w:val="en-US"/>
        </w:rPr>
        <w:t xml:space="preserve"> </w:t>
      </w:r>
      <w:r w:rsidR="00DD1E6F" w:rsidRPr="006C10E9">
        <w:rPr>
          <w:sz w:val="24"/>
          <w:szCs w:val="24"/>
          <w:lang w:val="en-US"/>
        </w:rPr>
        <w:t>from</w:t>
      </w:r>
      <w:r w:rsidRPr="006C10E9">
        <w:rPr>
          <w:sz w:val="24"/>
          <w:szCs w:val="24"/>
          <w:lang w:val="en-US"/>
        </w:rPr>
        <w:t xml:space="preserve"> the EU Charter, </w:t>
      </w:r>
      <w:r w:rsidR="00CC757A" w:rsidRPr="006C10E9">
        <w:rPr>
          <w:sz w:val="24"/>
          <w:szCs w:val="24"/>
          <w:lang w:val="en-US"/>
        </w:rPr>
        <w:t>which is the</w:t>
      </w:r>
      <w:r w:rsidR="006C10E9" w:rsidRPr="006C10E9">
        <w:rPr>
          <w:sz w:val="24"/>
          <w:szCs w:val="24"/>
          <w:lang w:val="en-US"/>
        </w:rPr>
        <w:t xml:space="preserve"> </w:t>
      </w:r>
      <w:r w:rsidRPr="006C10E9">
        <w:rPr>
          <w:sz w:val="24"/>
          <w:szCs w:val="24"/>
          <w:lang w:val="en-US"/>
        </w:rPr>
        <w:t xml:space="preserve">foundation text for a transnational community. </w:t>
      </w:r>
      <w:r w:rsidRPr="006C10E9">
        <w:rPr>
          <w:rFonts w:cstheme="minorHAnsi"/>
          <w:color w:val="000000" w:themeColor="text1"/>
          <w:sz w:val="24"/>
          <w:szCs w:val="24"/>
          <w:lang w:val="en-US"/>
        </w:rPr>
        <w:t>M</w:t>
      </w:r>
      <w:r w:rsidR="00DE6179" w:rsidRPr="006C10E9">
        <w:rPr>
          <w:rFonts w:cstheme="minorHAnsi"/>
          <w:color w:val="000000" w:themeColor="text1"/>
          <w:sz w:val="24"/>
          <w:szCs w:val="24"/>
          <w:lang w:val="en-US"/>
        </w:rPr>
        <w:t xml:space="preserve">ost of </w:t>
      </w:r>
      <w:r w:rsidR="006C10E9" w:rsidRPr="006C10E9">
        <w:rPr>
          <w:rFonts w:cstheme="minorHAnsi"/>
          <w:color w:val="000000" w:themeColor="text1"/>
          <w:sz w:val="24"/>
          <w:szCs w:val="24"/>
          <w:lang w:val="en-US"/>
        </w:rPr>
        <w:t>its</w:t>
      </w:r>
      <w:r w:rsidR="006C10E9">
        <w:rPr>
          <w:rFonts w:cstheme="minorHAnsi"/>
          <w:color w:val="000000" w:themeColor="text1"/>
          <w:sz w:val="24"/>
          <w:szCs w:val="24"/>
          <w:lang w:val="en-US"/>
        </w:rPr>
        <w:t xml:space="preserve"> </w:t>
      </w:r>
      <w:r w:rsidR="00DE6179" w:rsidRPr="006C10E9">
        <w:rPr>
          <w:rFonts w:cstheme="minorHAnsi"/>
          <w:color w:val="000000" w:themeColor="text1"/>
          <w:sz w:val="24"/>
          <w:szCs w:val="24"/>
          <w:lang w:val="en-US"/>
        </w:rPr>
        <w:t>content represents no more than a copy-paste of the human rights legacy as</w:t>
      </w:r>
      <w:r w:rsidR="00DE6179" w:rsidRPr="0019692D">
        <w:rPr>
          <w:rFonts w:cstheme="minorHAnsi"/>
          <w:color w:val="000000" w:themeColor="text1"/>
          <w:sz w:val="24"/>
          <w:szCs w:val="24"/>
          <w:lang w:val="en-US"/>
        </w:rPr>
        <w:t xml:space="preserve"> developed at </w:t>
      </w:r>
      <w:r w:rsidR="00A0048B">
        <w:rPr>
          <w:rFonts w:cstheme="minorHAnsi"/>
          <w:color w:val="000000" w:themeColor="text1"/>
          <w:sz w:val="24"/>
          <w:szCs w:val="24"/>
          <w:lang w:val="en-US"/>
        </w:rPr>
        <w:t xml:space="preserve">the </w:t>
      </w:r>
      <w:r w:rsidR="00DE6179" w:rsidRPr="0019692D">
        <w:rPr>
          <w:rFonts w:cstheme="minorHAnsi"/>
          <w:color w:val="000000" w:themeColor="text1"/>
          <w:sz w:val="24"/>
          <w:szCs w:val="24"/>
          <w:lang w:val="en-US"/>
        </w:rPr>
        <w:t xml:space="preserve">state level in the eighteenth and nineteenth century. This, however, strikes as </w:t>
      </w:r>
      <w:r w:rsidR="00A0048B">
        <w:rPr>
          <w:rFonts w:cstheme="minorHAnsi"/>
          <w:color w:val="000000" w:themeColor="text1"/>
          <w:sz w:val="24"/>
          <w:szCs w:val="24"/>
          <w:lang w:val="en-US"/>
        </w:rPr>
        <w:t>being both</w:t>
      </w:r>
      <w:r w:rsidR="00DE6179" w:rsidRPr="0019692D">
        <w:rPr>
          <w:rFonts w:cstheme="minorHAnsi"/>
          <w:color w:val="000000" w:themeColor="text1"/>
          <w:sz w:val="24"/>
          <w:szCs w:val="24"/>
          <w:lang w:val="en-US"/>
        </w:rPr>
        <w:t xml:space="preserve"> </w:t>
      </w:r>
      <w:r w:rsidR="0040658B">
        <w:rPr>
          <w:rFonts w:cstheme="minorHAnsi"/>
          <w:color w:val="000000" w:themeColor="text1"/>
          <w:sz w:val="24"/>
          <w:szCs w:val="24"/>
          <w:lang w:val="en-US"/>
        </w:rPr>
        <w:t>peculiar and</w:t>
      </w:r>
      <w:r w:rsidR="00DE6179" w:rsidRPr="0019692D">
        <w:rPr>
          <w:rFonts w:cstheme="minorHAnsi"/>
          <w:color w:val="000000" w:themeColor="text1"/>
          <w:sz w:val="24"/>
          <w:szCs w:val="24"/>
          <w:lang w:val="en-US"/>
        </w:rPr>
        <w:t xml:space="preserve"> or uninspired, especially at the level of the European Union that developed a more ambitious </w:t>
      </w:r>
      <w:proofErr w:type="spellStart"/>
      <w:r w:rsidR="00DE6179" w:rsidRPr="0019692D">
        <w:rPr>
          <w:rFonts w:cstheme="minorHAnsi"/>
          <w:color w:val="000000" w:themeColor="text1"/>
          <w:sz w:val="24"/>
          <w:szCs w:val="24"/>
          <w:lang w:val="en-US"/>
        </w:rPr>
        <w:t>program</w:t>
      </w:r>
      <w:r w:rsidR="0040658B">
        <w:rPr>
          <w:rFonts w:cstheme="minorHAnsi"/>
          <w:color w:val="000000" w:themeColor="text1"/>
          <w:sz w:val="24"/>
          <w:szCs w:val="24"/>
          <w:lang w:val="en-US"/>
        </w:rPr>
        <w:t>me</w:t>
      </w:r>
      <w:proofErr w:type="spellEnd"/>
      <w:r w:rsidR="00DE6179" w:rsidRPr="0019692D">
        <w:rPr>
          <w:rFonts w:cstheme="minorHAnsi"/>
          <w:color w:val="000000" w:themeColor="text1"/>
          <w:sz w:val="24"/>
          <w:szCs w:val="24"/>
          <w:lang w:val="en-US"/>
        </w:rPr>
        <w:t xml:space="preserve"> of creating </w:t>
      </w:r>
      <w:r w:rsidR="0040658B">
        <w:rPr>
          <w:rFonts w:cstheme="minorHAnsi"/>
          <w:color w:val="000000" w:themeColor="text1"/>
          <w:sz w:val="24"/>
          <w:szCs w:val="24"/>
          <w:lang w:val="en-US"/>
        </w:rPr>
        <w:t>a</w:t>
      </w:r>
      <w:r w:rsidR="006C10E9">
        <w:rPr>
          <w:rFonts w:cstheme="minorHAnsi"/>
          <w:color w:val="000000" w:themeColor="text1"/>
          <w:sz w:val="24"/>
          <w:szCs w:val="24"/>
          <w:lang w:val="en-US"/>
        </w:rPr>
        <w:t xml:space="preserve"> </w:t>
      </w:r>
      <w:r w:rsidR="00DE6179" w:rsidRPr="0019692D">
        <w:rPr>
          <w:rFonts w:cstheme="minorHAnsi"/>
          <w:color w:val="000000" w:themeColor="text1"/>
          <w:sz w:val="24"/>
          <w:szCs w:val="24"/>
          <w:lang w:val="en-US"/>
        </w:rPr>
        <w:t xml:space="preserve">single European justice space: is </w:t>
      </w:r>
      <w:r w:rsidR="00DE6179" w:rsidRPr="0019692D">
        <w:rPr>
          <w:rFonts w:cstheme="minorHAnsi"/>
          <w:i/>
          <w:iCs/>
          <w:color w:val="000000" w:themeColor="text1"/>
          <w:sz w:val="24"/>
          <w:szCs w:val="24"/>
          <w:lang w:val="en-US"/>
        </w:rPr>
        <w:t xml:space="preserve">ne bis in idem </w:t>
      </w:r>
      <w:r w:rsidR="00DE6179" w:rsidRPr="0019692D">
        <w:rPr>
          <w:rFonts w:cstheme="minorHAnsi"/>
          <w:color w:val="000000" w:themeColor="text1"/>
          <w:sz w:val="24"/>
          <w:szCs w:val="24"/>
          <w:lang w:val="en-US"/>
        </w:rPr>
        <w:t>really all that can be said at the level of fundamental rights for this unique project of thinking a larger than large space, transcending state levels</w:t>
      </w:r>
      <w:r w:rsidR="00411E66">
        <w:rPr>
          <w:rFonts w:cstheme="minorHAnsi"/>
          <w:color w:val="000000" w:themeColor="text1"/>
          <w:sz w:val="24"/>
          <w:szCs w:val="24"/>
          <w:lang w:val="en-US"/>
        </w:rPr>
        <w:t xml:space="preserve"> and build</w:t>
      </w:r>
      <w:r w:rsidR="004348F0">
        <w:rPr>
          <w:rFonts w:cstheme="minorHAnsi"/>
          <w:color w:val="000000" w:themeColor="text1"/>
          <w:sz w:val="24"/>
          <w:szCs w:val="24"/>
          <w:lang w:val="en-US"/>
        </w:rPr>
        <w:t>ing</w:t>
      </w:r>
      <w:r w:rsidR="00411E66">
        <w:rPr>
          <w:rFonts w:cstheme="minorHAnsi"/>
          <w:color w:val="000000" w:themeColor="text1"/>
          <w:sz w:val="24"/>
          <w:szCs w:val="24"/>
          <w:lang w:val="en-US"/>
        </w:rPr>
        <w:t xml:space="preserve"> on</w:t>
      </w:r>
      <w:r w:rsidR="00A0048B">
        <w:rPr>
          <w:rFonts w:cstheme="minorHAnsi"/>
          <w:color w:val="000000" w:themeColor="text1"/>
          <w:sz w:val="24"/>
          <w:szCs w:val="24"/>
          <w:lang w:val="en-US"/>
        </w:rPr>
        <w:t xml:space="preserve"> the</w:t>
      </w:r>
      <w:r w:rsidR="00411E66">
        <w:rPr>
          <w:rFonts w:cstheme="minorHAnsi"/>
          <w:color w:val="000000" w:themeColor="text1"/>
          <w:sz w:val="24"/>
          <w:szCs w:val="24"/>
          <w:lang w:val="en-US"/>
        </w:rPr>
        <w:t xml:space="preserve"> transcending and transnational constitut</w:t>
      </w:r>
      <w:r w:rsidR="00334E05">
        <w:rPr>
          <w:rFonts w:cstheme="minorHAnsi"/>
          <w:color w:val="000000" w:themeColor="text1"/>
          <w:sz w:val="24"/>
          <w:szCs w:val="24"/>
          <w:lang w:val="en-US"/>
        </w:rPr>
        <w:t>ion</w:t>
      </w:r>
      <w:r w:rsidR="00411E66">
        <w:rPr>
          <w:rFonts w:cstheme="minorHAnsi"/>
          <w:color w:val="000000" w:themeColor="text1"/>
          <w:sz w:val="24"/>
          <w:szCs w:val="24"/>
          <w:lang w:val="en-US"/>
        </w:rPr>
        <w:t>alism</w:t>
      </w:r>
      <w:r w:rsidR="00DE6179" w:rsidRPr="0019692D">
        <w:rPr>
          <w:rFonts w:cstheme="minorHAnsi"/>
          <w:color w:val="000000" w:themeColor="text1"/>
          <w:sz w:val="24"/>
          <w:szCs w:val="24"/>
          <w:lang w:val="en-US"/>
        </w:rPr>
        <w:t>?</w:t>
      </w:r>
      <w:r w:rsidR="00334E05">
        <w:rPr>
          <w:rStyle w:val="Appelnotedebasdep"/>
          <w:rFonts w:cstheme="minorHAnsi"/>
          <w:color w:val="000000" w:themeColor="text1"/>
          <w:sz w:val="24"/>
          <w:szCs w:val="24"/>
          <w:lang w:val="en-US"/>
        </w:rPr>
        <w:footnoteReference w:id="22"/>
      </w:r>
      <w:r w:rsidR="00CF5610">
        <w:rPr>
          <w:rFonts w:cstheme="minorHAnsi"/>
          <w:color w:val="000000" w:themeColor="text1"/>
          <w:sz w:val="24"/>
          <w:szCs w:val="24"/>
          <w:lang w:val="en-US"/>
        </w:rPr>
        <w:t xml:space="preserve"> </w:t>
      </w:r>
      <w:r w:rsidRPr="0019692D">
        <w:rPr>
          <w:rFonts w:cstheme="minorHAnsi"/>
          <w:color w:val="000000" w:themeColor="text1"/>
          <w:sz w:val="24"/>
          <w:szCs w:val="24"/>
          <w:lang w:val="en-US"/>
        </w:rPr>
        <w:t xml:space="preserve">The first time this question of </w:t>
      </w:r>
      <w:r w:rsidR="00334E05">
        <w:rPr>
          <w:rFonts w:cstheme="minorHAnsi"/>
          <w:color w:val="000000" w:themeColor="text1"/>
          <w:sz w:val="24"/>
          <w:szCs w:val="24"/>
          <w:lang w:val="en-US"/>
        </w:rPr>
        <w:t xml:space="preserve">transnational </w:t>
      </w:r>
      <w:r w:rsidRPr="0019692D">
        <w:rPr>
          <w:rFonts w:cstheme="minorHAnsi"/>
          <w:color w:val="000000" w:themeColor="text1"/>
          <w:sz w:val="24"/>
          <w:szCs w:val="24"/>
          <w:lang w:val="en-US"/>
        </w:rPr>
        <w:t xml:space="preserve">fundamental rights </w:t>
      </w:r>
      <w:r w:rsidR="00334E05">
        <w:rPr>
          <w:rFonts w:cstheme="minorHAnsi"/>
          <w:color w:val="000000" w:themeColor="text1"/>
          <w:sz w:val="24"/>
          <w:szCs w:val="24"/>
          <w:lang w:val="en-US"/>
        </w:rPr>
        <w:t>protection</w:t>
      </w:r>
      <w:r w:rsidRPr="0019692D">
        <w:rPr>
          <w:rFonts w:cstheme="minorHAnsi"/>
          <w:color w:val="000000" w:themeColor="text1"/>
          <w:sz w:val="24"/>
          <w:szCs w:val="24"/>
          <w:lang w:val="en-US"/>
        </w:rPr>
        <w:t xml:space="preserve"> was addr</w:t>
      </w:r>
      <w:r w:rsidRPr="007755E0">
        <w:rPr>
          <w:rFonts w:cstheme="minorHAnsi"/>
          <w:color w:val="000000" w:themeColor="text1"/>
          <w:sz w:val="24"/>
          <w:szCs w:val="24"/>
          <w:lang w:val="en-US"/>
        </w:rPr>
        <w:t>essed</w:t>
      </w:r>
      <w:r w:rsidR="00334E05">
        <w:rPr>
          <w:rFonts w:cstheme="minorHAnsi"/>
          <w:color w:val="000000" w:themeColor="text1"/>
          <w:sz w:val="24"/>
          <w:szCs w:val="24"/>
          <w:lang w:val="en-US"/>
        </w:rPr>
        <w:t xml:space="preserve"> in a non-superficial way</w:t>
      </w:r>
      <w:r w:rsidRPr="007755E0">
        <w:rPr>
          <w:rFonts w:cstheme="minorHAnsi"/>
          <w:color w:val="000000" w:themeColor="text1"/>
          <w:sz w:val="24"/>
          <w:szCs w:val="24"/>
          <w:lang w:val="en-US"/>
        </w:rPr>
        <w:t xml:space="preserve"> was in </w:t>
      </w:r>
      <w:r w:rsidRPr="0019692D">
        <w:rPr>
          <w:rFonts w:cstheme="minorHAnsi"/>
          <w:iCs/>
          <w:sz w:val="24"/>
          <w:szCs w:val="24"/>
          <w:lang w:val="en-US"/>
        </w:rPr>
        <w:t>i</w:t>
      </w:r>
      <w:r w:rsidR="00EE6784" w:rsidRPr="0019692D">
        <w:rPr>
          <w:rFonts w:cstheme="minorHAnsi"/>
          <w:iCs/>
          <w:sz w:val="24"/>
          <w:szCs w:val="24"/>
          <w:lang w:val="en-US"/>
        </w:rPr>
        <w:t xml:space="preserve">n 1989, </w:t>
      </w:r>
      <w:r w:rsidRPr="0019692D">
        <w:rPr>
          <w:rFonts w:cstheme="minorHAnsi"/>
          <w:iCs/>
          <w:sz w:val="24"/>
          <w:szCs w:val="24"/>
          <w:lang w:val="en-US"/>
        </w:rPr>
        <w:t xml:space="preserve">by </w:t>
      </w:r>
      <w:r w:rsidR="00EE6784" w:rsidRPr="0019692D">
        <w:rPr>
          <w:rFonts w:cstheme="minorHAnsi"/>
          <w:iCs/>
          <w:sz w:val="24"/>
          <w:szCs w:val="24"/>
          <w:lang w:val="en-US"/>
        </w:rPr>
        <w:t>t</w:t>
      </w:r>
      <w:r w:rsidR="006D6B1D" w:rsidRPr="0019692D">
        <w:rPr>
          <w:rFonts w:cstheme="minorHAnsi"/>
          <w:iCs/>
          <w:sz w:val="24"/>
          <w:szCs w:val="24"/>
          <w:lang w:val="en-US"/>
        </w:rPr>
        <w:t>he European Court of Human Rights</w:t>
      </w:r>
      <w:r w:rsidR="00EE6784" w:rsidRPr="0019692D">
        <w:rPr>
          <w:rFonts w:cstheme="minorHAnsi"/>
          <w:iCs/>
          <w:sz w:val="24"/>
          <w:szCs w:val="24"/>
          <w:lang w:val="en-US"/>
        </w:rPr>
        <w:t xml:space="preserve"> </w:t>
      </w:r>
      <w:r w:rsidR="00334E05">
        <w:rPr>
          <w:rFonts w:cstheme="minorHAnsi"/>
          <w:iCs/>
          <w:sz w:val="24"/>
          <w:szCs w:val="24"/>
          <w:lang w:val="en-US"/>
        </w:rPr>
        <w:t>in</w:t>
      </w:r>
      <w:r w:rsidR="006D6B1D" w:rsidRPr="0019692D">
        <w:rPr>
          <w:rFonts w:cstheme="minorHAnsi"/>
          <w:iCs/>
          <w:sz w:val="24"/>
          <w:szCs w:val="24"/>
          <w:lang w:val="en-US"/>
        </w:rPr>
        <w:t xml:space="preserve"> </w:t>
      </w:r>
      <w:proofErr w:type="spellStart"/>
      <w:r w:rsidR="006D6B1D" w:rsidRPr="0019692D">
        <w:rPr>
          <w:rFonts w:cstheme="minorHAnsi"/>
          <w:i/>
          <w:sz w:val="24"/>
          <w:szCs w:val="24"/>
          <w:lang w:val="en-US"/>
        </w:rPr>
        <w:t>Soering</w:t>
      </w:r>
      <w:proofErr w:type="spellEnd"/>
      <w:r w:rsidR="00885FDC" w:rsidRPr="0019692D">
        <w:rPr>
          <w:rFonts w:cstheme="minorHAnsi"/>
          <w:iCs/>
          <w:sz w:val="24"/>
          <w:szCs w:val="24"/>
          <w:lang w:val="en-US"/>
        </w:rPr>
        <w:t>.</w:t>
      </w:r>
    </w:p>
    <w:p w14:paraId="439747BF" w14:textId="77777777" w:rsidR="0019692D" w:rsidRPr="00650689" w:rsidRDefault="0019692D" w:rsidP="0019692D">
      <w:pPr>
        <w:pStyle w:val="Commentaire"/>
        <w:jc w:val="both"/>
        <w:rPr>
          <w:sz w:val="24"/>
          <w:szCs w:val="24"/>
          <w:lang w:val="en-US"/>
        </w:rPr>
      </w:pPr>
    </w:p>
    <w:p w14:paraId="2AE48B2F" w14:textId="47CD93C8" w:rsidR="00885FDC" w:rsidRPr="00533D7F" w:rsidRDefault="00885FDC" w:rsidP="00885FDC">
      <w:pPr>
        <w:pStyle w:val="Titre2"/>
        <w:numPr>
          <w:ilvl w:val="0"/>
          <w:numId w:val="1"/>
        </w:numPr>
        <w:rPr>
          <w:rFonts w:asciiTheme="minorHAnsi" w:hAnsiTheme="minorHAnsi" w:cstheme="minorHAnsi"/>
          <w:lang w:val="en-US"/>
        </w:rPr>
      </w:pPr>
      <w:r w:rsidRPr="00533D7F">
        <w:rPr>
          <w:rFonts w:asciiTheme="minorHAnsi" w:hAnsiTheme="minorHAnsi" w:cstheme="minorHAnsi"/>
          <w:lang w:val="en-US"/>
        </w:rPr>
        <w:t xml:space="preserve">Introducing human rights filters </w:t>
      </w:r>
      <w:r w:rsidR="00A40EAE" w:rsidRPr="00533D7F">
        <w:rPr>
          <w:rFonts w:asciiTheme="minorHAnsi" w:hAnsiTheme="minorHAnsi" w:cstheme="minorHAnsi"/>
          <w:lang w:val="en-US"/>
        </w:rPr>
        <w:t>to</w:t>
      </w:r>
      <w:r w:rsidRPr="00533D7F">
        <w:rPr>
          <w:rFonts w:asciiTheme="minorHAnsi" w:hAnsiTheme="minorHAnsi" w:cstheme="minorHAnsi"/>
          <w:lang w:val="en-US"/>
        </w:rPr>
        <w:t xml:space="preserve"> extradition</w:t>
      </w:r>
      <w:r w:rsidR="009A618B" w:rsidRPr="00533D7F">
        <w:rPr>
          <w:rFonts w:asciiTheme="minorHAnsi" w:hAnsiTheme="minorHAnsi" w:cstheme="minorHAnsi"/>
          <w:lang w:val="en-US"/>
        </w:rPr>
        <w:t xml:space="preserve"> (</w:t>
      </w:r>
      <w:proofErr w:type="spellStart"/>
      <w:r w:rsidR="009A618B" w:rsidRPr="00533D7F">
        <w:rPr>
          <w:rFonts w:asciiTheme="minorHAnsi" w:hAnsiTheme="minorHAnsi" w:cstheme="minorHAnsi"/>
          <w:i/>
          <w:iCs/>
          <w:lang w:val="en-US"/>
        </w:rPr>
        <w:t>Soering</w:t>
      </w:r>
      <w:proofErr w:type="spellEnd"/>
      <w:r w:rsidR="009A618B" w:rsidRPr="00533D7F">
        <w:rPr>
          <w:rFonts w:asciiTheme="minorHAnsi" w:hAnsiTheme="minorHAnsi" w:cstheme="minorHAnsi"/>
          <w:lang w:val="en-US"/>
        </w:rPr>
        <w:t>)</w:t>
      </w:r>
    </w:p>
    <w:p w14:paraId="255BEA5A" w14:textId="77777777" w:rsidR="006C1610" w:rsidRPr="00533D7F" w:rsidRDefault="006C1610" w:rsidP="006C1610">
      <w:pPr>
        <w:rPr>
          <w:rFonts w:asciiTheme="minorHAnsi" w:hAnsiTheme="minorHAnsi" w:cstheme="minorHAnsi"/>
          <w:lang w:val="en-US"/>
        </w:rPr>
      </w:pPr>
    </w:p>
    <w:p w14:paraId="3C930FBA" w14:textId="139144AE" w:rsidR="00E51AE8" w:rsidRDefault="00580942" w:rsidP="006C1610">
      <w:pPr>
        <w:jc w:val="both"/>
        <w:rPr>
          <w:rFonts w:asciiTheme="minorHAnsi" w:hAnsiTheme="minorHAnsi" w:cstheme="minorHAnsi"/>
          <w:color w:val="000000" w:themeColor="text1"/>
          <w:shd w:val="clear" w:color="auto" w:fill="FFFFFF"/>
          <w:lang w:val="en-US"/>
        </w:rPr>
      </w:pPr>
      <w:r w:rsidRPr="00533D7F">
        <w:rPr>
          <w:rFonts w:asciiTheme="minorHAnsi" w:hAnsiTheme="minorHAnsi" w:cstheme="minorHAnsi"/>
          <w:lang w:val="en-US"/>
        </w:rPr>
        <w:t xml:space="preserve">The </w:t>
      </w:r>
      <w:proofErr w:type="spellStart"/>
      <w:r w:rsidR="00D81C49" w:rsidRPr="00DD1E6F">
        <w:rPr>
          <w:rFonts w:asciiTheme="minorHAnsi" w:hAnsiTheme="minorHAnsi" w:cstheme="minorHAnsi"/>
          <w:i/>
          <w:iCs/>
          <w:lang w:val="en-US"/>
        </w:rPr>
        <w:t>Soering</w:t>
      </w:r>
      <w:proofErr w:type="spellEnd"/>
      <w:r w:rsidRPr="00533D7F">
        <w:rPr>
          <w:rFonts w:asciiTheme="minorHAnsi" w:hAnsiTheme="minorHAnsi" w:cstheme="minorHAnsi"/>
          <w:lang w:val="en-US"/>
        </w:rPr>
        <w:t xml:space="preserve"> </w:t>
      </w:r>
      <w:r w:rsidR="00460E69" w:rsidRPr="00533D7F">
        <w:rPr>
          <w:rFonts w:asciiTheme="minorHAnsi" w:hAnsiTheme="minorHAnsi" w:cstheme="minorHAnsi"/>
          <w:lang w:val="en-US"/>
        </w:rPr>
        <w:t xml:space="preserve">case </w:t>
      </w:r>
      <w:r w:rsidRPr="00533D7F">
        <w:rPr>
          <w:rFonts w:asciiTheme="minorHAnsi" w:hAnsiTheme="minorHAnsi" w:cstheme="minorHAnsi"/>
          <w:lang w:val="en-US"/>
        </w:rPr>
        <w:t>concerned a German national</w:t>
      </w:r>
      <w:r w:rsidR="0040658B">
        <w:rPr>
          <w:rFonts w:asciiTheme="minorHAnsi" w:hAnsiTheme="minorHAnsi" w:cstheme="minorHAnsi"/>
          <w:lang w:val="en-US"/>
        </w:rPr>
        <w:t>,</w:t>
      </w:r>
      <w:r w:rsidR="00251450" w:rsidRPr="00533D7F">
        <w:rPr>
          <w:rFonts w:asciiTheme="minorHAnsi" w:hAnsiTheme="minorHAnsi" w:cstheme="minorHAnsi"/>
          <w:lang w:val="en-US"/>
        </w:rPr>
        <w:t xml:space="preserve"> </w:t>
      </w:r>
      <w:r w:rsidR="004D15B1" w:rsidRPr="00533D7F">
        <w:rPr>
          <w:rFonts w:asciiTheme="minorHAnsi" w:hAnsiTheme="minorHAnsi" w:cstheme="minorHAnsi"/>
          <w:lang w:val="en-US"/>
        </w:rPr>
        <w:t>who</w:t>
      </w:r>
      <w:r w:rsidR="00251450" w:rsidRPr="00533D7F">
        <w:rPr>
          <w:rFonts w:asciiTheme="minorHAnsi" w:hAnsiTheme="minorHAnsi" w:cstheme="minorHAnsi"/>
          <w:lang w:val="en-US"/>
        </w:rPr>
        <w:t xml:space="preserve"> was a student at the University of Virginia</w:t>
      </w:r>
      <w:r w:rsidR="005231C6" w:rsidRPr="00533D7F">
        <w:rPr>
          <w:rFonts w:asciiTheme="minorHAnsi" w:hAnsiTheme="minorHAnsi" w:cstheme="minorHAnsi"/>
          <w:lang w:val="en-US"/>
        </w:rPr>
        <w:t>.</w:t>
      </w:r>
      <w:r w:rsidR="00251450" w:rsidRPr="00533D7F">
        <w:rPr>
          <w:rFonts w:asciiTheme="minorHAnsi" w:hAnsiTheme="minorHAnsi" w:cstheme="minorHAnsi"/>
          <w:lang w:val="en-US"/>
        </w:rPr>
        <w:t xml:space="preserve"> </w:t>
      </w:r>
      <w:r w:rsidR="00807EF9" w:rsidRPr="00533D7F">
        <w:rPr>
          <w:rFonts w:asciiTheme="minorHAnsi" w:hAnsiTheme="minorHAnsi" w:cstheme="minorHAnsi"/>
          <w:lang w:val="en-US"/>
        </w:rPr>
        <w:t>In 1985, h</w:t>
      </w:r>
      <w:r w:rsidR="005231C6" w:rsidRPr="00533D7F">
        <w:rPr>
          <w:rFonts w:asciiTheme="minorHAnsi" w:hAnsiTheme="minorHAnsi" w:cstheme="minorHAnsi"/>
          <w:lang w:val="en-US"/>
        </w:rPr>
        <w:t xml:space="preserve">e was </w:t>
      </w:r>
      <w:r w:rsidR="00251450" w:rsidRPr="00533D7F">
        <w:rPr>
          <w:rFonts w:asciiTheme="minorHAnsi" w:hAnsiTheme="minorHAnsi" w:cstheme="minorHAnsi"/>
          <w:lang w:val="en-US"/>
        </w:rPr>
        <w:t>accused of having killed his girlfriend’s parents</w:t>
      </w:r>
      <w:r w:rsidR="005231C6" w:rsidRPr="00533D7F">
        <w:rPr>
          <w:rFonts w:asciiTheme="minorHAnsi" w:hAnsiTheme="minorHAnsi" w:cstheme="minorHAnsi"/>
          <w:lang w:val="en-US"/>
        </w:rPr>
        <w:t xml:space="preserve"> in Bedford County, Virginia</w:t>
      </w:r>
      <w:r w:rsidR="00F0660F" w:rsidRPr="00533D7F">
        <w:rPr>
          <w:rFonts w:asciiTheme="minorHAnsi" w:hAnsiTheme="minorHAnsi" w:cstheme="minorHAnsi"/>
          <w:lang w:val="en-US"/>
        </w:rPr>
        <w:t xml:space="preserve">. </w:t>
      </w:r>
      <w:proofErr w:type="spellStart"/>
      <w:r w:rsidR="004D15B1" w:rsidRPr="00533D7F">
        <w:rPr>
          <w:rFonts w:asciiTheme="minorHAnsi" w:hAnsiTheme="minorHAnsi" w:cstheme="minorHAnsi"/>
          <w:lang w:val="en-US"/>
        </w:rPr>
        <w:t>Soering</w:t>
      </w:r>
      <w:proofErr w:type="spellEnd"/>
      <w:r w:rsidR="004D15B1" w:rsidRPr="00533D7F">
        <w:rPr>
          <w:rFonts w:asciiTheme="minorHAnsi" w:hAnsiTheme="minorHAnsi" w:cstheme="minorHAnsi"/>
          <w:lang w:val="en-US"/>
        </w:rPr>
        <w:t xml:space="preserve"> and his girlfriend</w:t>
      </w:r>
      <w:r w:rsidR="006C1610" w:rsidRPr="00533D7F">
        <w:rPr>
          <w:rFonts w:asciiTheme="minorHAnsi" w:hAnsiTheme="minorHAnsi" w:cstheme="minorHAnsi"/>
          <w:lang w:val="en-US"/>
        </w:rPr>
        <w:t xml:space="preserve"> </w:t>
      </w:r>
      <w:r w:rsidR="004D15B1" w:rsidRPr="00533D7F">
        <w:rPr>
          <w:rFonts w:asciiTheme="minorHAnsi" w:hAnsiTheme="minorHAnsi" w:cstheme="minorHAnsi"/>
          <w:lang w:val="en-US"/>
        </w:rPr>
        <w:t xml:space="preserve">disappeared in October 1985 </w:t>
      </w:r>
      <w:r w:rsidR="00EE4BCA" w:rsidRPr="00533D7F">
        <w:rPr>
          <w:rFonts w:asciiTheme="minorHAnsi" w:hAnsiTheme="minorHAnsi" w:cstheme="minorHAnsi"/>
          <w:lang w:val="en-US"/>
        </w:rPr>
        <w:t>and</w:t>
      </w:r>
      <w:r w:rsidR="004D15B1" w:rsidRPr="00533D7F">
        <w:rPr>
          <w:rFonts w:asciiTheme="minorHAnsi" w:hAnsiTheme="minorHAnsi" w:cstheme="minorHAnsi"/>
          <w:lang w:val="en-US"/>
        </w:rPr>
        <w:t xml:space="preserve"> </w:t>
      </w:r>
      <w:r w:rsidR="00A0048B">
        <w:rPr>
          <w:rFonts w:asciiTheme="minorHAnsi" w:hAnsiTheme="minorHAnsi" w:cstheme="minorHAnsi"/>
          <w:lang w:val="en-US"/>
        </w:rPr>
        <w:t xml:space="preserve">they </w:t>
      </w:r>
      <w:r w:rsidR="004D15B1" w:rsidRPr="00533D7F">
        <w:rPr>
          <w:rFonts w:asciiTheme="minorHAnsi" w:hAnsiTheme="minorHAnsi" w:cstheme="minorHAnsi"/>
          <w:lang w:val="en-US"/>
        </w:rPr>
        <w:t xml:space="preserve">were </w:t>
      </w:r>
      <w:r w:rsidR="00A0048B">
        <w:rPr>
          <w:rFonts w:asciiTheme="minorHAnsi" w:hAnsiTheme="minorHAnsi" w:cstheme="minorHAnsi"/>
          <w:lang w:val="en-US"/>
        </w:rPr>
        <w:t>later</w:t>
      </w:r>
      <w:r w:rsidR="004D15B1" w:rsidRPr="00533D7F">
        <w:rPr>
          <w:rFonts w:asciiTheme="minorHAnsi" w:hAnsiTheme="minorHAnsi" w:cstheme="minorHAnsi"/>
          <w:lang w:val="en-US"/>
        </w:rPr>
        <w:t xml:space="preserve"> arrested </w:t>
      </w:r>
      <w:r w:rsidR="00A0048B">
        <w:rPr>
          <w:rFonts w:asciiTheme="minorHAnsi" w:hAnsiTheme="minorHAnsi" w:cstheme="minorHAnsi"/>
          <w:lang w:val="en-US"/>
        </w:rPr>
        <w:t>for cheque fraud</w:t>
      </w:r>
      <w:r w:rsidR="004D15B1" w:rsidRPr="00533D7F">
        <w:rPr>
          <w:rFonts w:asciiTheme="minorHAnsi" w:hAnsiTheme="minorHAnsi" w:cstheme="minorHAnsi"/>
          <w:lang w:val="en-US"/>
        </w:rPr>
        <w:t xml:space="preserve"> in the U</w:t>
      </w:r>
      <w:r w:rsidR="005231C6" w:rsidRPr="00533D7F">
        <w:rPr>
          <w:rFonts w:asciiTheme="minorHAnsi" w:hAnsiTheme="minorHAnsi" w:cstheme="minorHAnsi"/>
          <w:lang w:val="en-US"/>
        </w:rPr>
        <w:t xml:space="preserve">nited </w:t>
      </w:r>
      <w:r w:rsidR="004D15B1" w:rsidRPr="00533D7F">
        <w:rPr>
          <w:rFonts w:asciiTheme="minorHAnsi" w:hAnsiTheme="minorHAnsi" w:cstheme="minorHAnsi"/>
          <w:lang w:val="en-US"/>
        </w:rPr>
        <w:t>K</w:t>
      </w:r>
      <w:r w:rsidR="005231C6" w:rsidRPr="00533D7F">
        <w:rPr>
          <w:rFonts w:asciiTheme="minorHAnsi" w:hAnsiTheme="minorHAnsi" w:cstheme="minorHAnsi"/>
          <w:lang w:val="en-US"/>
        </w:rPr>
        <w:t>ingdom</w:t>
      </w:r>
      <w:r w:rsidR="004D15B1" w:rsidRPr="00533D7F">
        <w:rPr>
          <w:rFonts w:asciiTheme="minorHAnsi" w:hAnsiTheme="minorHAnsi" w:cstheme="minorHAnsi"/>
          <w:lang w:val="en-US"/>
        </w:rPr>
        <w:t xml:space="preserve"> </w:t>
      </w:r>
      <w:r w:rsidR="00A0048B">
        <w:rPr>
          <w:rFonts w:asciiTheme="minorHAnsi" w:hAnsiTheme="minorHAnsi" w:cstheme="minorHAnsi"/>
          <w:lang w:val="en-US"/>
        </w:rPr>
        <w:t xml:space="preserve">in </w:t>
      </w:r>
      <w:r w:rsidR="004D15B1" w:rsidRPr="00533D7F">
        <w:rPr>
          <w:rFonts w:asciiTheme="minorHAnsi" w:hAnsiTheme="minorHAnsi" w:cstheme="minorHAnsi"/>
          <w:lang w:val="en-US"/>
        </w:rPr>
        <w:t>1986</w:t>
      </w:r>
      <w:r w:rsidR="004D15B1" w:rsidRPr="00533D7F">
        <w:rPr>
          <w:rFonts w:asciiTheme="minorHAnsi" w:hAnsiTheme="minorHAnsi" w:cstheme="minorHAnsi"/>
          <w:color w:val="000000" w:themeColor="text1"/>
          <w:lang w:val="en-US"/>
        </w:rPr>
        <w:t>.</w:t>
      </w:r>
      <w:r w:rsidR="00976FDA" w:rsidRPr="00533D7F">
        <w:rPr>
          <w:rFonts w:asciiTheme="minorHAnsi" w:hAnsiTheme="minorHAnsi" w:cstheme="minorHAnsi"/>
          <w:color w:val="000000" w:themeColor="text1"/>
          <w:lang w:val="en-US"/>
        </w:rPr>
        <w:t xml:space="preserve"> Following their arrest, </w:t>
      </w:r>
      <w:r w:rsidR="005231C6" w:rsidRPr="00533D7F">
        <w:rPr>
          <w:rFonts w:asciiTheme="minorHAnsi" w:hAnsiTheme="minorHAnsi" w:cstheme="minorHAnsi"/>
          <w:color w:val="000000" w:themeColor="text1"/>
          <w:lang w:val="en-US"/>
        </w:rPr>
        <w:t xml:space="preserve">they were interviewed by the Bedford County police in the UK, which led to </w:t>
      </w:r>
      <w:proofErr w:type="spellStart"/>
      <w:r w:rsidR="00807EF9" w:rsidRPr="00533D7F">
        <w:rPr>
          <w:rFonts w:asciiTheme="minorHAnsi" w:hAnsiTheme="minorHAnsi" w:cstheme="minorHAnsi"/>
          <w:color w:val="000000" w:themeColor="text1"/>
          <w:lang w:val="en-US"/>
        </w:rPr>
        <w:t>Soering’s</w:t>
      </w:r>
      <w:proofErr w:type="spellEnd"/>
      <w:r w:rsidR="005231C6" w:rsidRPr="00533D7F">
        <w:rPr>
          <w:rFonts w:asciiTheme="minorHAnsi" w:hAnsiTheme="minorHAnsi" w:cstheme="minorHAnsi"/>
          <w:color w:val="000000" w:themeColor="text1"/>
          <w:lang w:val="en-US"/>
        </w:rPr>
        <w:t xml:space="preserve"> indictment for</w:t>
      </w:r>
      <w:r w:rsidR="00FA7994" w:rsidRPr="00533D7F">
        <w:rPr>
          <w:rFonts w:asciiTheme="minorHAnsi" w:hAnsiTheme="minorHAnsi" w:cstheme="minorHAnsi"/>
          <w:color w:val="000000" w:themeColor="text1"/>
          <w:lang w:val="en-US"/>
        </w:rPr>
        <w:t xml:space="preserve"> murder.</w:t>
      </w:r>
      <w:r w:rsidR="00E7727B" w:rsidRPr="00533D7F">
        <w:rPr>
          <w:rStyle w:val="Appelnotedebasdep"/>
          <w:rFonts w:asciiTheme="minorHAnsi" w:hAnsiTheme="minorHAnsi" w:cstheme="minorHAnsi"/>
          <w:color w:val="000000" w:themeColor="text1"/>
          <w:lang w:val="en-US"/>
        </w:rPr>
        <w:footnoteReference w:id="23"/>
      </w:r>
      <w:r w:rsidR="005231C6" w:rsidRPr="00533D7F">
        <w:rPr>
          <w:rFonts w:asciiTheme="minorHAnsi" w:hAnsiTheme="minorHAnsi" w:cstheme="minorHAnsi"/>
          <w:color w:val="000000" w:themeColor="text1"/>
          <w:lang w:val="en-US"/>
        </w:rPr>
        <w:t xml:space="preserve"> </w:t>
      </w:r>
      <w:r w:rsidR="00E7727B" w:rsidRPr="00533D7F">
        <w:rPr>
          <w:rFonts w:asciiTheme="minorHAnsi" w:hAnsiTheme="minorHAnsi" w:cstheme="minorHAnsi"/>
          <w:color w:val="000000" w:themeColor="text1"/>
          <w:lang w:val="en-US"/>
        </w:rPr>
        <w:t>The</w:t>
      </w:r>
      <w:r w:rsidR="00976FDA" w:rsidRPr="00533D7F">
        <w:rPr>
          <w:rFonts w:asciiTheme="minorHAnsi" w:hAnsiTheme="minorHAnsi" w:cstheme="minorHAnsi"/>
          <w:color w:val="000000" w:themeColor="text1"/>
          <w:lang w:val="en-US"/>
        </w:rPr>
        <w:t xml:space="preserve"> United States </w:t>
      </w:r>
      <w:r w:rsidR="00E7727B" w:rsidRPr="00533D7F">
        <w:rPr>
          <w:rFonts w:asciiTheme="minorHAnsi" w:hAnsiTheme="minorHAnsi" w:cstheme="minorHAnsi"/>
          <w:color w:val="000000" w:themeColor="text1"/>
          <w:lang w:val="en-US"/>
        </w:rPr>
        <w:t xml:space="preserve">then </w:t>
      </w:r>
      <w:r w:rsidR="00976FDA" w:rsidRPr="00533D7F">
        <w:rPr>
          <w:rFonts w:asciiTheme="minorHAnsi" w:hAnsiTheme="minorHAnsi" w:cstheme="minorHAnsi"/>
          <w:color w:val="000000" w:themeColor="text1"/>
          <w:lang w:val="en-US"/>
        </w:rPr>
        <w:t>issued an extradition request to the United Kingdom</w:t>
      </w:r>
      <w:r w:rsidR="006C1610" w:rsidRPr="00533D7F">
        <w:rPr>
          <w:rFonts w:asciiTheme="minorHAnsi" w:hAnsiTheme="minorHAnsi" w:cstheme="minorHAnsi"/>
          <w:color w:val="000000" w:themeColor="text1"/>
          <w:lang w:val="en-US"/>
        </w:rPr>
        <w:t xml:space="preserve"> </w:t>
      </w:r>
      <w:r w:rsidR="006C1610" w:rsidRPr="00533D7F">
        <w:rPr>
          <w:rFonts w:asciiTheme="minorHAnsi" w:hAnsiTheme="minorHAnsi" w:cstheme="minorHAnsi"/>
          <w:color w:val="000000" w:themeColor="text1"/>
          <w:shd w:val="clear" w:color="auto" w:fill="FFFFFF"/>
          <w:lang w:val="en-US"/>
        </w:rPr>
        <w:t xml:space="preserve">under the Extradition </w:t>
      </w:r>
      <w:r w:rsidR="006C1610" w:rsidRPr="00533D7F">
        <w:rPr>
          <w:rFonts w:asciiTheme="minorHAnsi" w:hAnsiTheme="minorHAnsi" w:cstheme="minorHAnsi"/>
          <w:color w:val="000000" w:themeColor="text1"/>
          <w:shd w:val="clear" w:color="auto" w:fill="FFFFFF"/>
          <w:lang w:val="en-US"/>
        </w:rPr>
        <w:lastRenderedPageBreak/>
        <w:t>Treaty of 1972 between the two countries</w:t>
      </w:r>
      <w:r w:rsidR="00D97CDF" w:rsidRPr="00533D7F">
        <w:rPr>
          <w:rFonts w:asciiTheme="minorHAnsi" w:hAnsiTheme="minorHAnsi" w:cstheme="minorHAnsi"/>
          <w:color w:val="000000" w:themeColor="text1"/>
          <w:shd w:val="clear" w:color="auto" w:fill="FFFFFF"/>
          <w:lang w:val="en-US"/>
        </w:rPr>
        <w:t>,</w:t>
      </w:r>
      <w:r w:rsidR="000C10FA">
        <w:rPr>
          <w:rStyle w:val="Appelnotedebasdep"/>
          <w:rFonts w:asciiTheme="minorHAnsi" w:hAnsiTheme="minorHAnsi" w:cstheme="minorHAnsi"/>
          <w:color w:val="000000" w:themeColor="text1"/>
          <w:shd w:val="clear" w:color="auto" w:fill="FFFFFF"/>
          <w:lang w:val="en-US"/>
        </w:rPr>
        <w:footnoteReference w:id="24"/>
      </w:r>
      <w:r w:rsidR="00D97CDF" w:rsidRPr="00533D7F">
        <w:rPr>
          <w:rFonts w:asciiTheme="minorHAnsi" w:hAnsiTheme="minorHAnsi" w:cstheme="minorHAnsi"/>
          <w:color w:val="000000" w:themeColor="text1"/>
          <w:shd w:val="clear" w:color="auto" w:fill="FFFFFF"/>
          <w:lang w:val="en-US"/>
        </w:rPr>
        <w:t xml:space="preserve"> an extradition that the United Kingdom accepted after American authorities gave assurances that, in the event of his extradition, </w:t>
      </w:r>
      <w:proofErr w:type="spellStart"/>
      <w:r w:rsidR="00D97CDF" w:rsidRPr="00533D7F">
        <w:rPr>
          <w:rFonts w:asciiTheme="minorHAnsi" w:hAnsiTheme="minorHAnsi" w:cstheme="minorHAnsi"/>
          <w:color w:val="000000" w:themeColor="text1"/>
          <w:shd w:val="clear" w:color="auto" w:fill="FFFFFF"/>
          <w:lang w:val="en-US"/>
        </w:rPr>
        <w:t>Soering</w:t>
      </w:r>
      <w:proofErr w:type="spellEnd"/>
      <w:r w:rsidR="00D97CDF" w:rsidRPr="00533D7F">
        <w:rPr>
          <w:rFonts w:asciiTheme="minorHAnsi" w:hAnsiTheme="minorHAnsi" w:cstheme="minorHAnsi"/>
          <w:color w:val="000000" w:themeColor="text1"/>
          <w:shd w:val="clear" w:color="auto" w:fill="FFFFFF"/>
          <w:lang w:val="en-US"/>
        </w:rPr>
        <w:t xml:space="preserve"> would not face </w:t>
      </w:r>
      <w:r w:rsidR="00A0048B">
        <w:rPr>
          <w:rFonts w:asciiTheme="minorHAnsi" w:hAnsiTheme="minorHAnsi" w:cstheme="minorHAnsi"/>
          <w:color w:val="000000" w:themeColor="text1"/>
          <w:shd w:val="clear" w:color="auto" w:fill="FFFFFF"/>
          <w:lang w:val="en-US"/>
        </w:rPr>
        <w:t>the</w:t>
      </w:r>
      <w:r w:rsidR="00D97CDF" w:rsidRPr="00533D7F">
        <w:rPr>
          <w:rFonts w:asciiTheme="minorHAnsi" w:hAnsiTheme="minorHAnsi" w:cstheme="minorHAnsi"/>
          <w:color w:val="000000" w:themeColor="text1"/>
          <w:shd w:val="clear" w:color="auto" w:fill="FFFFFF"/>
          <w:lang w:val="en-US"/>
        </w:rPr>
        <w:t xml:space="preserve"> death penalty or that, if that sentence </w:t>
      </w:r>
      <w:r w:rsidR="00055103">
        <w:rPr>
          <w:rFonts w:asciiTheme="minorHAnsi" w:hAnsiTheme="minorHAnsi" w:cstheme="minorHAnsi"/>
          <w:color w:val="000000" w:themeColor="text1"/>
          <w:shd w:val="clear" w:color="auto" w:fill="FFFFFF"/>
          <w:lang w:val="en-US"/>
        </w:rPr>
        <w:t>i</w:t>
      </w:r>
      <w:r w:rsidR="00D97CDF" w:rsidRPr="00533D7F">
        <w:rPr>
          <w:rFonts w:asciiTheme="minorHAnsi" w:hAnsiTheme="minorHAnsi" w:cstheme="minorHAnsi"/>
          <w:color w:val="000000" w:themeColor="text1"/>
          <w:shd w:val="clear" w:color="auto" w:fill="FFFFFF"/>
          <w:lang w:val="en-US"/>
        </w:rPr>
        <w:t xml:space="preserve">s passed, it would not be </w:t>
      </w:r>
      <w:r w:rsidR="00807EF9" w:rsidRPr="00533D7F">
        <w:rPr>
          <w:rFonts w:asciiTheme="minorHAnsi" w:hAnsiTheme="minorHAnsi" w:cstheme="minorHAnsi"/>
          <w:color w:val="000000" w:themeColor="text1"/>
          <w:shd w:val="clear" w:color="auto" w:fill="FFFFFF"/>
          <w:lang w:val="en-US"/>
        </w:rPr>
        <w:t>executed</w:t>
      </w:r>
      <w:r w:rsidR="00D97CDF" w:rsidRPr="00533D7F">
        <w:rPr>
          <w:rFonts w:asciiTheme="minorHAnsi" w:hAnsiTheme="minorHAnsi" w:cstheme="minorHAnsi"/>
          <w:color w:val="000000" w:themeColor="text1"/>
          <w:shd w:val="clear" w:color="auto" w:fill="FFFFFF"/>
          <w:lang w:val="en-US"/>
        </w:rPr>
        <w:t>.</w:t>
      </w:r>
      <w:r w:rsidR="004717C0" w:rsidRPr="00533D7F">
        <w:rPr>
          <w:rStyle w:val="Appelnotedebasdep"/>
          <w:rFonts w:asciiTheme="minorHAnsi" w:hAnsiTheme="minorHAnsi" w:cstheme="minorHAnsi"/>
          <w:color w:val="000000" w:themeColor="text1"/>
          <w:shd w:val="clear" w:color="auto" w:fill="FFFFFF"/>
          <w:lang w:val="en-US"/>
        </w:rPr>
        <w:footnoteReference w:id="25"/>
      </w:r>
      <w:r w:rsidR="00D97CDF" w:rsidRPr="00533D7F">
        <w:rPr>
          <w:rFonts w:asciiTheme="minorHAnsi" w:hAnsiTheme="minorHAnsi" w:cstheme="minorHAnsi"/>
          <w:color w:val="000000" w:themeColor="text1"/>
          <w:shd w:val="clear" w:color="auto" w:fill="FFFFFF"/>
          <w:lang w:val="en-US"/>
        </w:rPr>
        <w:t xml:space="preserve"> </w:t>
      </w:r>
      <w:r w:rsidR="00F0660F" w:rsidRPr="00533D7F">
        <w:rPr>
          <w:rFonts w:asciiTheme="minorHAnsi" w:hAnsiTheme="minorHAnsi" w:cstheme="minorHAnsi"/>
          <w:color w:val="000000" w:themeColor="text1"/>
          <w:shd w:val="clear" w:color="auto" w:fill="FFFFFF"/>
          <w:lang w:val="en-US"/>
        </w:rPr>
        <w:t xml:space="preserve">During the course of the proceedings, however, </w:t>
      </w:r>
      <w:r w:rsidR="00A0048B">
        <w:rPr>
          <w:rFonts w:asciiTheme="minorHAnsi" w:hAnsiTheme="minorHAnsi" w:cstheme="minorHAnsi"/>
          <w:color w:val="000000" w:themeColor="text1"/>
          <w:shd w:val="clear" w:color="auto" w:fill="FFFFFF"/>
          <w:lang w:val="en-US"/>
        </w:rPr>
        <w:t xml:space="preserve">the </w:t>
      </w:r>
      <w:r w:rsidR="00F0660F" w:rsidRPr="00533D7F">
        <w:rPr>
          <w:rFonts w:asciiTheme="minorHAnsi" w:hAnsiTheme="minorHAnsi" w:cstheme="minorHAnsi"/>
          <w:color w:val="000000" w:themeColor="text1"/>
          <w:shd w:val="clear" w:color="auto" w:fill="FFFFFF"/>
          <w:lang w:val="en-US"/>
        </w:rPr>
        <w:t xml:space="preserve">Virginia </w:t>
      </w:r>
      <w:r w:rsidR="00FB726C" w:rsidRPr="00533D7F">
        <w:rPr>
          <w:rFonts w:asciiTheme="minorHAnsi" w:hAnsiTheme="minorHAnsi" w:cstheme="minorHAnsi"/>
          <w:color w:val="000000" w:themeColor="text1"/>
          <w:shd w:val="clear" w:color="auto" w:fill="FFFFFF"/>
          <w:lang w:val="en-US"/>
        </w:rPr>
        <w:t>authorities notified</w:t>
      </w:r>
      <w:r w:rsidR="00F0660F" w:rsidRPr="00533D7F">
        <w:rPr>
          <w:rFonts w:asciiTheme="minorHAnsi" w:hAnsiTheme="minorHAnsi" w:cstheme="minorHAnsi"/>
          <w:color w:val="000000" w:themeColor="text1"/>
          <w:shd w:val="clear" w:color="auto" w:fill="FFFFFF"/>
          <w:lang w:val="en-US"/>
        </w:rPr>
        <w:t xml:space="preserve"> the United Kingdom that the Attorney </w:t>
      </w:r>
      <w:r w:rsidR="00E7727B" w:rsidRPr="00533D7F">
        <w:rPr>
          <w:rFonts w:asciiTheme="minorHAnsi" w:hAnsiTheme="minorHAnsi" w:cstheme="minorHAnsi"/>
          <w:color w:val="000000" w:themeColor="text1"/>
          <w:shd w:val="clear" w:color="auto" w:fill="FFFFFF"/>
          <w:lang w:val="en-US"/>
        </w:rPr>
        <w:t xml:space="preserve">for Bedford County </w:t>
      </w:r>
      <w:r w:rsidR="00F0660F" w:rsidRPr="00533D7F">
        <w:rPr>
          <w:rFonts w:asciiTheme="minorHAnsi" w:hAnsiTheme="minorHAnsi" w:cstheme="minorHAnsi"/>
          <w:color w:val="000000" w:themeColor="text1"/>
          <w:shd w:val="clear" w:color="auto" w:fill="FFFFFF"/>
          <w:lang w:val="en-US"/>
        </w:rPr>
        <w:t xml:space="preserve">did intend to seek the death penalty for </w:t>
      </w:r>
      <w:proofErr w:type="spellStart"/>
      <w:r w:rsidR="00F0660F" w:rsidRPr="00533D7F">
        <w:rPr>
          <w:rFonts w:asciiTheme="minorHAnsi" w:hAnsiTheme="minorHAnsi" w:cstheme="minorHAnsi"/>
          <w:color w:val="000000" w:themeColor="text1"/>
          <w:shd w:val="clear" w:color="auto" w:fill="FFFFFF"/>
          <w:lang w:val="en-US"/>
        </w:rPr>
        <w:t>Soering</w:t>
      </w:r>
      <w:proofErr w:type="spellEnd"/>
      <w:r w:rsidR="00F0660F" w:rsidRPr="00533D7F">
        <w:rPr>
          <w:rFonts w:asciiTheme="minorHAnsi" w:hAnsiTheme="minorHAnsi" w:cstheme="minorHAnsi"/>
          <w:color w:val="000000" w:themeColor="text1"/>
          <w:shd w:val="clear" w:color="auto" w:fill="FFFFFF"/>
          <w:lang w:val="en-US"/>
        </w:rPr>
        <w:t>.</w:t>
      </w:r>
      <w:r w:rsidR="00E7727B" w:rsidRPr="00533D7F">
        <w:rPr>
          <w:rStyle w:val="Appelnotedebasdep"/>
          <w:rFonts w:asciiTheme="minorHAnsi" w:hAnsiTheme="minorHAnsi" w:cstheme="minorHAnsi"/>
          <w:color w:val="000000" w:themeColor="text1"/>
          <w:shd w:val="clear" w:color="auto" w:fill="FFFFFF"/>
          <w:lang w:val="en-US"/>
        </w:rPr>
        <w:footnoteReference w:id="26"/>
      </w:r>
      <w:r w:rsidR="000B4C8C">
        <w:rPr>
          <w:rFonts w:asciiTheme="minorHAnsi" w:hAnsiTheme="minorHAnsi" w:cstheme="minorHAnsi"/>
          <w:color w:val="000000" w:themeColor="text1"/>
          <w:shd w:val="clear" w:color="auto" w:fill="FFFFFF"/>
          <w:lang w:val="en-US"/>
        </w:rPr>
        <w:t xml:space="preserve"> </w:t>
      </w:r>
      <w:r w:rsidR="0071511C">
        <w:rPr>
          <w:rFonts w:asciiTheme="minorHAnsi" w:hAnsiTheme="minorHAnsi" w:cstheme="minorHAnsi"/>
          <w:color w:val="000000" w:themeColor="text1"/>
          <w:shd w:val="clear" w:color="auto" w:fill="FFFFFF"/>
          <w:lang w:val="en-US"/>
        </w:rPr>
        <w:t>I</w:t>
      </w:r>
      <w:r w:rsidR="00551E57">
        <w:rPr>
          <w:rFonts w:asciiTheme="minorHAnsi" w:hAnsiTheme="minorHAnsi" w:cstheme="minorHAnsi"/>
          <w:color w:val="000000" w:themeColor="text1"/>
          <w:shd w:val="clear" w:color="auto" w:fill="FFFFFF"/>
          <w:lang w:val="en-US"/>
        </w:rPr>
        <w:t xml:space="preserve">n March 1989, </w:t>
      </w:r>
      <w:proofErr w:type="spellStart"/>
      <w:r w:rsidR="00551E57">
        <w:rPr>
          <w:rFonts w:asciiTheme="minorHAnsi" w:hAnsiTheme="minorHAnsi" w:cstheme="minorHAnsi"/>
          <w:color w:val="000000" w:themeColor="text1"/>
          <w:shd w:val="clear" w:color="auto" w:fill="FFFFFF"/>
          <w:lang w:val="en-US"/>
        </w:rPr>
        <w:t>Soering</w:t>
      </w:r>
      <w:proofErr w:type="spellEnd"/>
      <w:r w:rsidR="00551E57">
        <w:rPr>
          <w:rFonts w:asciiTheme="minorHAnsi" w:hAnsiTheme="minorHAnsi" w:cstheme="minorHAnsi"/>
          <w:color w:val="000000" w:themeColor="text1"/>
          <w:shd w:val="clear" w:color="auto" w:fill="FFFFFF"/>
          <w:lang w:val="en-US"/>
        </w:rPr>
        <w:t xml:space="preserve"> seized the </w:t>
      </w:r>
      <w:r w:rsidR="00C42620">
        <w:rPr>
          <w:rFonts w:asciiTheme="minorHAnsi" w:hAnsiTheme="minorHAnsi" w:cstheme="minorHAnsi"/>
          <w:color w:val="000000" w:themeColor="text1"/>
          <w:shd w:val="clear" w:color="auto" w:fill="FFFFFF"/>
          <w:lang w:val="en-US"/>
        </w:rPr>
        <w:t>ECtHR</w:t>
      </w:r>
      <w:r w:rsidR="00551E57">
        <w:rPr>
          <w:rFonts w:asciiTheme="minorHAnsi" w:hAnsiTheme="minorHAnsi" w:cstheme="minorHAnsi"/>
          <w:color w:val="000000" w:themeColor="text1"/>
          <w:shd w:val="clear" w:color="auto" w:fill="FFFFFF"/>
          <w:lang w:val="en-US"/>
        </w:rPr>
        <w:t xml:space="preserve"> and</w:t>
      </w:r>
      <w:r w:rsidR="0057268B">
        <w:rPr>
          <w:rFonts w:asciiTheme="minorHAnsi" w:hAnsiTheme="minorHAnsi" w:cstheme="minorHAnsi"/>
          <w:color w:val="000000" w:themeColor="text1"/>
          <w:shd w:val="clear" w:color="auto" w:fill="FFFFFF"/>
          <w:lang w:val="en-US"/>
        </w:rPr>
        <w:t xml:space="preserve"> contended that, if executed, his extradition would lead to</w:t>
      </w:r>
      <w:r w:rsidR="003B0FBA">
        <w:rPr>
          <w:rFonts w:asciiTheme="minorHAnsi" w:hAnsiTheme="minorHAnsi" w:cstheme="minorHAnsi"/>
          <w:color w:val="000000" w:themeColor="text1"/>
          <w:shd w:val="clear" w:color="auto" w:fill="FFFFFF"/>
          <w:lang w:val="en-US"/>
        </w:rPr>
        <w:t xml:space="preserve"> a breach of </w:t>
      </w:r>
      <w:r w:rsidR="00A0048B">
        <w:rPr>
          <w:rFonts w:asciiTheme="minorHAnsi" w:hAnsiTheme="minorHAnsi" w:cstheme="minorHAnsi"/>
          <w:color w:val="000000" w:themeColor="text1"/>
          <w:shd w:val="clear" w:color="auto" w:fill="FFFFFF"/>
          <w:lang w:val="en-US"/>
        </w:rPr>
        <w:t>A</w:t>
      </w:r>
      <w:r w:rsidR="003B0FBA">
        <w:rPr>
          <w:rFonts w:asciiTheme="minorHAnsi" w:hAnsiTheme="minorHAnsi" w:cstheme="minorHAnsi"/>
          <w:color w:val="000000" w:themeColor="text1"/>
          <w:shd w:val="clear" w:color="auto" w:fill="FFFFFF"/>
          <w:lang w:val="en-US"/>
        </w:rPr>
        <w:t xml:space="preserve">rticle 3 ECHR </w:t>
      </w:r>
      <w:r w:rsidR="009723B3">
        <w:rPr>
          <w:rFonts w:asciiTheme="minorHAnsi" w:hAnsiTheme="minorHAnsi" w:cstheme="minorHAnsi"/>
          <w:color w:val="000000" w:themeColor="text1"/>
          <w:shd w:val="clear" w:color="auto" w:fill="FFFFFF"/>
          <w:lang w:val="en-US"/>
        </w:rPr>
        <w:t>on the prohibition of torture;</w:t>
      </w:r>
      <w:r w:rsidR="00E53A96">
        <w:rPr>
          <w:rStyle w:val="Appelnotedebasdep"/>
          <w:rFonts w:asciiTheme="minorHAnsi" w:hAnsiTheme="minorHAnsi" w:cstheme="minorHAnsi"/>
          <w:color w:val="000000" w:themeColor="text1"/>
          <w:shd w:val="clear" w:color="auto" w:fill="FFFFFF"/>
          <w:lang w:val="en-US"/>
        </w:rPr>
        <w:footnoteReference w:id="27"/>
      </w:r>
      <w:r w:rsidR="003B0FBA">
        <w:rPr>
          <w:rFonts w:asciiTheme="minorHAnsi" w:hAnsiTheme="minorHAnsi" w:cstheme="minorHAnsi"/>
          <w:color w:val="000000" w:themeColor="text1"/>
          <w:shd w:val="clear" w:color="auto" w:fill="FFFFFF"/>
          <w:lang w:val="en-US"/>
        </w:rPr>
        <w:t xml:space="preserve"> </w:t>
      </w:r>
      <w:r w:rsidR="00A0048B">
        <w:rPr>
          <w:rFonts w:asciiTheme="minorHAnsi" w:hAnsiTheme="minorHAnsi" w:cstheme="minorHAnsi"/>
          <w:color w:val="000000" w:themeColor="text1"/>
          <w:shd w:val="clear" w:color="auto" w:fill="FFFFFF"/>
          <w:lang w:val="en-US"/>
        </w:rPr>
        <w:t>A</w:t>
      </w:r>
      <w:r w:rsidR="003B0FBA">
        <w:rPr>
          <w:rFonts w:asciiTheme="minorHAnsi" w:hAnsiTheme="minorHAnsi" w:cstheme="minorHAnsi"/>
          <w:color w:val="000000" w:themeColor="text1"/>
          <w:shd w:val="clear" w:color="auto" w:fill="FFFFFF"/>
          <w:lang w:val="en-US"/>
        </w:rPr>
        <w:t>rticle 6</w:t>
      </w:r>
      <w:r w:rsidR="00DC5822">
        <w:rPr>
          <w:rFonts w:asciiTheme="minorHAnsi" w:hAnsiTheme="minorHAnsi" w:cstheme="minorHAnsi"/>
          <w:color w:val="000000" w:themeColor="text1"/>
          <w:shd w:val="clear" w:color="auto" w:fill="FFFFFF"/>
          <w:lang w:val="en-US"/>
        </w:rPr>
        <w:t xml:space="preserve"> ECHR</w:t>
      </w:r>
      <w:r w:rsidR="003B0FBA">
        <w:rPr>
          <w:rFonts w:asciiTheme="minorHAnsi" w:hAnsiTheme="minorHAnsi" w:cstheme="minorHAnsi"/>
          <w:color w:val="000000" w:themeColor="text1"/>
          <w:shd w:val="clear" w:color="auto" w:fill="FFFFFF"/>
          <w:lang w:val="en-US"/>
        </w:rPr>
        <w:t xml:space="preserve"> on the right to a fair trial</w:t>
      </w:r>
      <w:r w:rsidR="00A0048B">
        <w:rPr>
          <w:rFonts w:asciiTheme="minorHAnsi" w:hAnsiTheme="minorHAnsi" w:cstheme="minorHAnsi"/>
          <w:color w:val="000000" w:themeColor="text1"/>
          <w:shd w:val="clear" w:color="auto" w:fill="FFFFFF"/>
          <w:lang w:val="en-US"/>
        </w:rPr>
        <w:t>;</w:t>
      </w:r>
      <w:r w:rsidR="003B0FBA" w:rsidRPr="00533D7F">
        <w:rPr>
          <w:rStyle w:val="Appelnotedebasdep"/>
          <w:rFonts w:asciiTheme="minorHAnsi" w:hAnsiTheme="minorHAnsi" w:cstheme="minorHAnsi"/>
          <w:lang w:val="en-US"/>
        </w:rPr>
        <w:footnoteReference w:id="28"/>
      </w:r>
      <w:r w:rsidR="003B0FBA">
        <w:rPr>
          <w:rFonts w:asciiTheme="minorHAnsi" w:hAnsiTheme="minorHAnsi" w:cstheme="minorHAnsi"/>
          <w:color w:val="000000" w:themeColor="text1"/>
          <w:shd w:val="clear" w:color="auto" w:fill="FFFFFF"/>
          <w:lang w:val="en-US"/>
        </w:rPr>
        <w:t xml:space="preserve"> and </w:t>
      </w:r>
      <w:r w:rsidR="00A0048B">
        <w:rPr>
          <w:rFonts w:asciiTheme="minorHAnsi" w:hAnsiTheme="minorHAnsi" w:cstheme="minorHAnsi"/>
          <w:color w:val="000000" w:themeColor="text1"/>
          <w:shd w:val="clear" w:color="auto" w:fill="FFFFFF"/>
          <w:lang w:val="en-US"/>
        </w:rPr>
        <w:t>A</w:t>
      </w:r>
      <w:r w:rsidR="003B0FBA">
        <w:rPr>
          <w:rFonts w:asciiTheme="minorHAnsi" w:hAnsiTheme="minorHAnsi" w:cstheme="minorHAnsi"/>
          <w:color w:val="000000" w:themeColor="text1"/>
          <w:shd w:val="clear" w:color="auto" w:fill="FFFFFF"/>
          <w:lang w:val="en-US"/>
        </w:rPr>
        <w:t>rticle 13</w:t>
      </w:r>
      <w:r w:rsidR="00DC5822">
        <w:rPr>
          <w:rFonts w:asciiTheme="minorHAnsi" w:hAnsiTheme="minorHAnsi" w:cstheme="minorHAnsi"/>
          <w:color w:val="000000" w:themeColor="text1"/>
          <w:shd w:val="clear" w:color="auto" w:fill="FFFFFF"/>
          <w:lang w:val="en-US"/>
        </w:rPr>
        <w:t xml:space="preserve"> ECHR</w:t>
      </w:r>
      <w:r w:rsidR="003B0FBA">
        <w:rPr>
          <w:rFonts w:asciiTheme="minorHAnsi" w:hAnsiTheme="minorHAnsi" w:cstheme="minorHAnsi"/>
          <w:color w:val="000000" w:themeColor="text1"/>
          <w:shd w:val="clear" w:color="auto" w:fill="FFFFFF"/>
          <w:lang w:val="en-US"/>
        </w:rPr>
        <w:t xml:space="preserve"> on the right to an effective remedy.</w:t>
      </w:r>
      <w:r w:rsidR="003B0FBA" w:rsidRPr="00533D7F">
        <w:rPr>
          <w:rStyle w:val="Appelnotedebasdep"/>
          <w:rFonts w:asciiTheme="minorHAnsi" w:hAnsiTheme="minorHAnsi" w:cstheme="minorHAnsi"/>
          <w:lang w:val="en-US"/>
        </w:rPr>
        <w:footnoteReference w:id="29"/>
      </w:r>
    </w:p>
    <w:p w14:paraId="6E1D0727" w14:textId="77777777" w:rsidR="00F475F4" w:rsidRPr="00533D7F" w:rsidRDefault="00F475F4" w:rsidP="006C1610">
      <w:pPr>
        <w:jc w:val="both"/>
        <w:rPr>
          <w:rFonts w:asciiTheme="minorHAnsi" w:hAnsiTheme="minorHAnsi" w:cstheme="minorHAnsi"/>
          <w:color w:val="000000" w:themeColor="text1"/>
          <w:shd w:val="clear" w:color="auto" w:fill="FFFFFF"/>
          <w:lang w:val="en-US"/>
        </w:rPr>
      </w:pPr>
    </w:p>
    <w:p w14:paraId="57BB2ECE" w14:textId="27645B4D" w:rsidR="00E51AE8" w:rsidRDefault="00E51AE8" w:rsidP="005D60C9">
      <w:pPr>
        <w:jc w:val="both"/>
        <w:rPr>
          <w:rFonts w:asciiTheme="minorHAnsi" w:hAnsiTheme="minorHAnsi" w:cstheme="minorHAnsi"/>
          <w:lang w:val="en-US"/>
        </w:rPr>
      </w:pPr>
      <w:r w:rsidRPr="00533D7F">
        <w:rPr>
          <w:rFonts w:asciiTheme="minorHAnsi" w:hAnsiTheme="minorHAnsi" w:cstheme="minorHAnsi"/>
          <w:lang w:val="en-US"/>
        </w:rPr>
        <w:t>In examining the case, the Court considered the assurance</w:t>
      </w:r>
      <w:r w:rsidR="0040658B">
        <w:rPr>
          <w:rFonts w:asciiTheme="minorHAnsi" w:hAnsiTheme="minorHAnsi" w:cstheme="minorHAnsi"/>
          <w:lang w:val="en-US"/>
        </w:rPr>
        <w:t>s</w:t>
      </w:r>
      <w:r w:rsidRPr="00533D7F">
        <w:rPr>
          <w:rFonts w:asciiTheme="minorHAnsi" w:hAnsiTheme="minorHAnsi" w:cstheme="minorHAnsi"/>
          <w:lang w:val="en-US"/>
        </w:rPr>
        <w:t xml:space="preserve"> given by the Virginia authorities to the United Kingdom authorities that accepted it. The Court noted, in this regard, that never in the past had the effectiveness of such assurances been tested</w:t>
      </w:r>
      <w:r w:rsidR="001D4010" w:rsidRPr="00533D7F">
        <w:rPr>
          <w:rFonts w:asciiTheme="minorHAnsi" w:hAnsiTheme="minorHAnsi" w:cstheme="minorHAnsi"/>
          <w:lang w:val="en-US"/>
        </w:rPr>
        <w:t xml:space="preserve"> by UK authorities</w:t>
      </w:r>
      <w:r w:rsidRPr="00533D7F">
        <w:rPr>
          <w:rFonts w:asciiTheme="minorHAnsi" w:hAnsiTheme="minorHAnsi" w:cstheme="minorHAnsi"/>
          <w:lang w:val="en-US"/>
        </w:rPr>
        <w:t>.</w:t>
      </w:r>
      <w:r w:rsidR="00404839" w:rsidRPr="00533D7F">
        <w:rPr>
          <w:rStyle w:val="Appelnotedebasdep"/>
          <w:rFonts w:asciiTheme="minorHAnsi" w:hAnsiTheme="minorHAnsi" w:cstheme="minorHAnsi"/>
          <w:lang w:val="en-US"/>
        </w:rPr>
        <w:footnoteReference w:id="30"/>
      </w:r>
      <w:r w:rsidRPr="00533D7F">
        <w:rPr>
          <w:rFonts w:asciiTheme="minorHAnsi" w:hAnsiTheme="minorHAnsi" w:cstheme="minorHAnsi"/>
          <w:lang w:val="en-US"/>
        </w:rPr>
        <w:t xml:space="preserve"> The Court further </w:t>
      </w:r>
      <w:proofErr w:type="spellStart"/>
      <w:r w:rsidR="00FF63B8">
        <w:rPr>
          <w:rFonts w:asciiTheme="minorHAnsi" w:hAnsiTheme="minorHAnsi" w:cstheme="minorHAnsi"/>
          <w:lang w:val="en-US"/>
        </w:rPr>
        <w:t>scrutinised</w:t>
      </w:r>
      <w:proofErr w:type="spellEnd"/>
      <w:r w:rsidR="00FF63B8" w:rsidRPr="00533D7F">
        <w:rPr>
          <w:rFonts w:asciiTheme="minorHAnsi" w:hAnsiTheme="minorHAnsi" w:cstheme="minorHAnsi"/>
          <w:lang w:val="en-US"/>
        </w:rPr>
        <w:t xml:space="preserve"> </w:t>
      </w:r>
      <w:r w:rsidRPr="00533D7F">
        <w:rPr>
          <w:rFonts w:asciiTheme="minorHAnsi" w:hAnsiTheme="minorHAnsi" w:cstheme="minorHAnsi"/>
          <w:lang w:val="en-US"/>
        </w:rPr>
        <w:t>the criminal law applicable in Virginia</w:t>
      </w:r>
      <w:r w:rsidR="0040658B">
        <w:rPr>
          <w:rFonts w:asciiTheme="minorHAnsi" w:hAnsiTheme="minorHAnsi" w:cstheme="minorHAnsi"/>
          <w:lang w:val="en-US"/>
        </w:rPr>
        <w:t>,</w:t>
      </w:r>
      <w:r w:rsidR="001D4010" w:rsidRPr="00533D7F">
        <w:rPr>
          <w:rFonts w:asciiTheme="minorHAnsi" w:hAnsiTheme="minorHAnsi" w:cstheme="minorHAnsi"/>
          <w:lang w:val="en-US"/>
        </w:rPr>
        <w:t xml:space="preserve"> as well as the prison conditions in the prison where </w:t>
      </w:r>
      <w:proofErr w:type="spellStart"/>
      <w:r w:rsidR="001D4010" w:rsidRPr="00533D7F">
        <w:rPr>
          <w:rFonts w:asciiTheme="minorHAnsi" w:hAnsiTheme="minorHAnsi" w:cstheme="minorHAnsi"/>
          <w:lang w:val="en-US"/>
        </w:rPr>
        <w:t>Soering</w:t>
      </w:r>
      <w:proofErr w:type="spellEnd"/>
      <w:r w:rsidR="001D4010" w:rsidRPr="00533D7F">
        <w:rPr>
          <w:rFonts w:asciiTheme="minorHAnsi" w:hAnsiTheme="minorHAnsi" w:cstheme="minorHAnsi"/>
          <w:lang w:val="en-US"/>
        </w:rPr>
        <w:t xml:space="preserve"> would be serving his sentence. Because German authorities had also tried to get </w:t>
      </w:r>
      <w:proofErr w:type="spellStart"/>
      <w:r w:rsidR="001D4010" w:rsidRPr="00533D7F">
        <w:rPr>
          <w:rFonts w:asciiTheme="minorHAnsi" w:hAnsiTheme="minorHAnsi" w:cstheme="minorHAnsi"/>
          <w:lang w:val="en-US"/>
        </w:rPr>
        <w:t>Soering</w:t>
      </w:r>
      <w:proofErr w:type="spellEnd"/>
      <w:r w:rsidR="001D4010" w:rsidRPr="00533D7F">
        <w:rPr>
          <w:rFonts w:asciiTheme="minorHAnsi" w:hAnsiTheme="minorHAnsi" w:cstheme="minorHAnsi"/>
          <w:lang w:val="en-US"/>
        </w:rPr>
        <w:t xml:space="preserve"> back to Germany due to his nationality, the Court then looked at the German practice in terms of extradition. It noted that where there is a risk that a death sentence </w:t>
      </w:r>
      <w:r w:rsidR="0040658B">
        <w:rPr>
          <w:rFonts w:asciiTheme="minorHAnsi" w:hAnsiTheme="minorHAnsi" w:cstheme="minorHAnsi"/>
          <w:lang w:val="en-US"/>
        </w:rPr>
        <w:t xml:space="preserve">will </w:t>
      </w:r>
      <w:r w:rsidR="001D4010" w:rsidRPr="00533D7F">
        <w:rPr>
          <w:rFonts w:asciiTheme="minorHAnsi" w:hAnsiTheme="minorHAnsi" w:cstheme="minorHAnsi"/>
          <w:lang w:val="en-US"/>
        </w:rPr>
        <w:t xml:space="preserve">be carried out, German authorities only granted extradition in </w:t>
      </w:r>
      <w:r w:rsidR="00A0048B">
        <w:rPr>
          <w:rFonts w:asciiTheme="minorHAnsi" w:hAnsiTheme="minorHAnsi" w:cstheme="minorHAnsi"/>
          <w:lang w:val="en-US"/>
        </w:rPr>
        <w:t xml:space="preserve">the </w:t>
      </w:r>
      <w:r w:rsidR="001D4010" w:rsidRPr="00533D7F">
        <w:rPr>
          <w:rFonts w:asciiTheme="minorHAnsi" w:hAnsiTheme="minorHAnsi" w:cstheme="minorHAnsi"/>
          <w:lang w:val="en-US"/>
        </w:rPr>
        <w:t xml:space="preserve">case of unequivocal assurances that the death sentence </w:t>
      </w:r>
      <w:r w:rsidR="00AC0AC4" w:rsidRPr="00533D7F">
        <w:rPr>
          <w:rFonts w:asciiTheme="minorHAnsi" w:hAnsiTheme="minorHAnsi" w:cstheme="minorHAnsi"/>
          <w:lang w:val="en-US"/>
        </w:rPr>
        <w:t>would</w:t>
      </w:r>
      <w:r w:rsidR="001D4010" w:rsidRPr="00533D7F">
        <w:rPr>
          <w:rFonts w:asciiTheme="minorHAnsi" w:hAnsiTheme="minorHAnsi" w:cstheme="minorHAnsi"/>
          <w:lang w:val="en-US"/>
        </w:rPr>
        <w:t xml:space="preserve"> not be imposed or carried out. Finally, the Court considered the </w:t>
      </w:r>
      <w:r w:rsidR="00AC0AC4" w:rsidRPr="00533D7F">
        <w:rPr>
          <w:rFonts w:asciiTheme="minorHAnsi" w:hAnsiTheme="minorHAnsi" w:cstheme="minorHAnsi"/>
          <w:lang w:val="en-US"/>
        </w:rPr>
        <w:t xml:space="preserve">alleged breaches of human rights of which </w:t>
      </w:r>
      <w:proofErr w:type="spellStart"/>
      <w:r w:rsidR="00AC0AC4" w:rsidRPr="00533D7F">
        <w:rPr>
          <w:rFonts w:asciiTheme="minorHAnsi" w:hAnsiTheme="minorHAnsi" w:cstheme="minorHAnsi"/>
          <w:lang w:val="en-US"/>
        </w:rPr>
        <w:t>Soering</w:t>
      </w:r>
      <w:proofErr w:type="spellEnd"/>
      <w:r w:rsidR="00AC0AC4" w:rsidRPr="00533D7F">
        <w:rPr>
          <w:rFonts w:asciiTheme="minorHAnsi" w:hAnsiTheme="minorHAnsi" w:cstheme="minorHAnsi"/>
          <w:lang w:val="en-US"/>
        </w:rPr>
        <w:t xml:space="preserve"> claimed he would be the victim</w:t>
      </w:r>
      <w:r w:rsidR="0040658B">
        <w:rPr>
          <w:rFonts w:asciiTheme="minorHAnsi" w:hAnsiTheme="minorHAnsi" w:cstheme="minorHAnsi"/>
          <w:lang w:val="en-US"/>
        </w:rPr>
        <w:t>,</w:t>
      </w:r>
      <w:r w:rsidR="00AC0AC4" w:rsidRPr="00533D7F">
        <w:rPr>
          <w:rFonts w:asciiTheme="minorHAnsi" w:hAnsiTheme="minorHAnsi" w:cstheme="minorHAnsi"/>
          <w:lang w:val="en-US"/>
        </w:rPr>
        <w:t xml:space="preserve"> if extradited to the United States.</w:t>
      </w:r>
    </w:p>
    <w:p w14:paraId="1853F1F5" w14:textId="77777777" w:rsidR="00F475F4" w:rsidRPr="00533D7F" w:rsidRDefault="00F475F4" w:rsidP="005D60C9">
      <w:pPr>
        <w:jc w:val="both"/>
        <w:rPr>
          <w:rFonts w:asciiTheme="minorHAnsi" w:hAnsiTheme="minorHAnsi" w:cstheme="minorHAnsi"/>
          <w:lang w:val="en-US"/>
        </w:rPr>
      </w:pPr>
    </w:p>
    <w:p w14:paraId="05772B85" w14:textId="243A2539" w:rsidR="00E51AE8" w:rsidRPr="00533D7F" w:rsidRDefault="0044045F" w:rsidP="00810FCD">
      <w:pPr>
        <w:autoSpaceDE w:val="0"/>
        <w:autoSpaceDN w:val="0"/>
        <w:adjustRightInd w:val="0"/>
        <w:jc w:val="both"/>
        <w:rPr>
          <w:rFonts w:asciiTheme="minorHAnsi" w:hAnsiTheme="minorHAnsi" w:cstheme="minorHAnsi"/>
          <w:lang w:val="en-US"/>
        </w:rPr>
      </w:pPr>
      <w:r>
        <w:rPr>
          <w:rFonts w:asciiTheme="minorHAnsi" w:hAnsiTheme="minorHAnsi" w:cstheme="minorHAnsi"/>
          <w:lang w:val="en-US"/>
        </w:rPr>
        <w:t xml:space="preserve">As mentioned, </w:t>
      </w:r>
      <w:proofErr w:type="spellStart"/>
      <w:r w:rsidR="001536AC" w:rsidRPr="00533D7F">
        <w:rPr>
          <w:rFonts w:asciiTheme="minorHAnsi" w:hAnsiTheme="minorHAnsi" w:cstheme="minorHAnsi"/>
          <w:lang w:val="en-US"/>
        </w:rPr>
        <w:t>Soering</w:t>
      </w:r>
      <w:proofErr w:type="spellEnd"/>
      <w:r w:rsidR="001536AC" w:rsidRPr="00533D7F">
        <w:rPr>
          <w:rFonts w:asciiTheme="minorHAnsi" w:hAnsiTheme="minorHAnsi" w:cstheme="minorHAnsi"/>
          <w:lang w:val="en-US"/>
        </w:rPr>
        <w:t xml:space="preserve"> </w:t>
      </w:r>
      <w:r w:rsidR="00C535F2" w:rsidRPr="00533D7F">
        <w:rPr>
          <w:rFonts w:asciiTheme="minorHAnsi" w:hAnsiTheme="minorHAnsi" w:cstheme="minorHAnsi"/>
          <w:lang w:val="en-US"/>
        </w:rPr>
        <w:t>argued</w:t>
      </w:r>
      <w:r w:rsidR="001536AC" w:rsidRPr="00533D7F">
        <w:rPr>
          <w:rFonts w:asciiTheme="minorHAnsi" w:hAnsiTheme="minorHAnsi" w:cstheme="minorHAnsi"/>
          <w:lang w:val="en-US"/>
        </w:rPr>
        <w:t xml:space="preserve"> t</w:t>
      </w:r>
      <w:r w:rsidR="00C020AD" w:rsidRPr="00533D7F">
        <w:rPr>
          <w:rFonts w:asciiTheme="minorHAnsi" w:hAnsiTheme="minorHAnsi" w:cstheme="minorHAnsi"/>
          <w:lang w:val="en-US"/>
        </w:rPr>
        <w:t xml:space="preserve">hat, should it take place, his extradition to the United States would </w:t>
      </w:r>
      <w:r w:rsidR="004D1BAC" w:rsidRPr="00533D7F">
        <w:rPr>
          <w:rFonts w:asciiTheme="minorHAnsi" w:hAnsiTheme="minorHAnsi" w:cstheme="minorHAnsi"/>
          <w:lang w:val="en-US"/>
        </w:rPr>
        <w:t>lead</w:t>
      </w:r>
      <w:r w:rsidR="00C020AD" w:rsidRPr="00533D7F">
        <w:rPr>
          <w:rFonts w:asciiTheme="minorHAnsi" w:hAnsiTheme="minorHAnsi" w:cstheme="minorHAnsi"/>
          <w:lang w:val="en-US"/>
        </w:rPr>
        <w:t xml:space="preserve"> to a breach of </w:t>
      </w:r>
      <w:r w:rsidR="001F5DF3">
        <w:rPr>
          <w:rFonts w:asciiTheme="minorHAnsi" w:hAnsiTheme="minorHAnsi" w:cstheme="minorHAnsi"/>
          <w:lang w:val="en-US"/>
        </w:rPr>
        <w:t>A</w:t>
      </w:r>
      <w:r w:rsidR="00C020AD" w:rsidRPr="00533D7F">
        <w:rPr>
          <w:rFonts w:asciiTheme="minorHAnsi" w:hAnsiTheme="minorHAnsi" w:cstheme="minorHAnsi"/>
          <w:lang w:val="en-US"/>
        </w:rPr>
        <w:t>rticle 3 ECHR.</w:t>
      </w:r>
      <w:r>
        <w:rPr>
          <w:rFonts w:asciiTheme="minorHAnsi" w:hAnsiTheme="minorHAnsi" w:cstheme="minorHAnsi"/>
          <w:lang w:val="en-US"/>
        </w:rPr>
        <w:t xml:space="preserve"> More specifically,</w:t>
      </w:r>
      <w:r w:rsidR="00C020AD" w:rsidRPr="00533D7F">
        <w:rPr>
          <w:rFonts w:asciiTheme="minorHAnsi" w:hAnsiTheme="minorHAnsi" w:cstheme="minorHAnsi"/>
          <w:lang w:val="en-US"/>
        </w:rPr>
        <w:t xml:space="preserve"> </w:t>
      </w:r>
      <w:r>
        <w:rPr>
          <w:rFonts w:asciiTheme="minorHAnsi" w:hAnsiTheme="minorHAnsi" w:cstheme="minorHAnsi"/>
          <w:lang w:val="en-US"/>
        </w:rPr>
        <w:t>h</w:t>
      </w:r>
      <w:r w:rsidR="00C020AD" w:rsidRPr="00533D7F">
        <w:rPr>
          <w:rFonts w:asciiTheme="minorHAnsi" w:hAnsiTheme="minorHAnsi" w:cstheme="minorHAnsi"/>
          <w:lang w:val="en-US"/>
        </w:rPr>
        <w:t xml:space="preserve">e </w:t>
      </w:r>
      <w:r w:rsidR="00930D4A" w:rsidRPr="00533D7F">
        <w:rPr>
          <w:rFonts w:asciiTheme="minorHAnsi" w:hAnsiTheme="minorHAnsi" w:cstheme="minorHAnsi"/>
          <w:lang w:val="en-US"/>
        </w:rPr>
        <w:t>contended</w:t>
      </w:r>
      <w:r w:rsidR="00C020AD" w:rsidRPr="00533D7F">
        <w:rPr>
          <w:rFonts w:asciiTheme="minorHAnsi" w:hAnsiTheme="minorHAnsi" w:cstheme="minorHAnsi"/>
          <w:lang w:val="en-US"/>
        </w:rPr>
        <w:t xml:space="preserve"> that </w:t>
      </w:r>
      <w:r w:rsidR="00A9038C" w:rsidRPr="00533D7F">
        <w:rPr>
          <w:rFonts w:asciiTheme="minorHAnsi" w:hAnsiTheme="minorHAnsi" w:cstheme="minorHAnsi"/>
          <w:lang w:val="en-US"/>
        </w:rPr>
        <w:t>he would be subject to the “death row phenomenon” if sentenced to death in Virginia. The “death row phenomenon” refers to the circumstances surrounding the death sentence</w:t>
      </w:r>
      <w:r w:rsidR="00B3212B" w:rsidRPr="00533D7F">
        <w:rPr>
          <w:rFonts w:asciiTheme="minorHAnsi" w:hAnsiTheme="minorHAnsi" w:cstheme="minorHAnsi"/>
          <w:lang w:val="en-US"/>
        </w:rPr>
        <w:t xml:space="preserve"> that subject the prisoner to such a level of distress that it is considered to</w:t>
      </w:r>
      <w:r w:rsidR="00167B8B" w:rsidRPr="00533D7F">
        <w:rPr>
          <w:rFonts w:asciiTheme="minorHAnsi" w:hAnsiTheme="minorHAnsi" w:cstheme="minorHAnsi"/>
          <w:lang w:val="en-US"/>
        </w:rPr>
        <w:t xml:space="preserve"> be, in some cases,</w:t>
      </w:r>
      <w:r w:rsidR="00B3212B" w:rsidRPr="00533D7F">
        <w:rPr>
          <w:rFonts w:asciiTheme="minorHAnsi" w:hAnsiTheme="minorHAnsi" w:cstheme="minorHAnsi"/>
          <w:lang w:val="en-US"/>
        </w:rPr>
        <w:t xml:space="preserve"> compar</w:t>
      </w:r>
      <w:r w:rsidR="00167B8B" w:rsidRPr="00533D7F">
        <w:rPr>
          <w:rFonts w:asciiTheme="minorHAnsi" w:hAnsiTheme="minorHAnsi" w:cstheme="minorHAnsi"/>
          <w:lang w:val="en-US"/>
        </w:rPr>
        <w:t>able</w:t>
      </w:r>
      <w:r w:rsidR="00B3212B" w:rsidRPr="00533D7F">
        <w:rPr>
          <w:rFonts w:asciiTheme="minorHAnsi" w:hAnsiTheme="minorHAnsi" w:cstheme="minorHAnsi"/>
          <w:lang w:val="en-US"/>
        </w:rPr>
        <w:t xml:space="preserve"> to </w:t>
      </w:r>
      <w:r w:rsidR="00C3018D" w:rsidRPr="00533D7F">
        <w:rPr>
          <w:rFonts w:asciiTheme="minorHAnsi" w:hAnsiTheme="minorHAnsi" w:cstheme="minorHAnsi"/>
          <w:lang w:val="en-US"/>
        </w:rPr>
        <w:t xml:space="preserve">torture </w:t>
      </w:r>
      <w:r w:rsidR="00167B8B" w:rsidRPr="00533D7F">
        <w:rPr>
          <w:rFonts w:asciiTheme="minorHAnsi" w:hAnsiTheme="minorHAnsi" w:cstheme="minorHAnsi"/>
          <w:lang w:val="en-US"/>
        </w:rPr>
        <w:t>and/</w:t>
      </w:r>
      <w:r w:rsidR="00C3018D" w:rsidRPr="00533D7F">
        <w:rPr>
          <w:rFonts w:asciiTheme="minorHAnsi" w:hAnsiTheme="minorHAnsi" w:cstheme="minorHAnsi"/>
          <w:lang w:val="en-US"/>
        </w:rPr>
        <w:t>or</w:t>
      </w:r>
      <w:r w:rsidR="00B3212B" w:rsidRPr="00533D7F">
        <w:rPr>
          <w:rFonts w:asciiTheme="minorHAnsi" w:hAnsiTheme="minorHAnsi" w:cstheme="minorHAnsi"/>
          <w:lang w:val="en-US"/>
        </w:rPr>
        <w:t xml:space="preserve"> inhumane and degrading treatment under </w:t>
      </w:r>
      <w:r w:rsidR="001F5DF3">
        <w:rPr>
          <w:rFonts w:asciiTheme="minorHAnsi" w:hAnsiTheme="minorHAnsi" w:cstheme="minorHAnsi"/>
          <w:lang w:val="en-US"/>
        </w:rPr>
        <w:t>A</w:t>
      </w:r>
      <w:r w:rsidR="00B3212B" w:rsidRPr="00533D7F">
        <w:rPr>
          <w:rFonts w:asciiTheme="minorHAnsi" w:hAnsiTheme="minorHAnsi" w:cstheme="minorHAnsi"/>
          <w:lang w:val="en-US"/>
        </w:rPr>
        <w:t>rticle 3 of the ECHR.</w:t>
      </w:r>
      <w:r w:rsidR="00B3212B" w:rsidRPr="00533D7F">
        <w:rPr>
          <w:rStyle w:val="Appelnotedebasdep"/>
          <w:rFonts w:asciiTheme="minorHAnsi" w:hAnsiTheme="minorHAnsi" w:cstheme="minorHAnsi"/>
          <w:lang w:val="en-US"/>
        </w:rPr>
        <w:footnoteReference w:id="31"/>
      </w:r>
      <w:r w:rsidR="00B3212B" w:rsidRPr="00533D7F">
        <w:rPr>
          <w:rFonts w:asciiTheme="minorHAnsi" w:hAnsiTheme="minorHAnsi" w:cstheme="minorHAnsi"/>
          <w:lang w:val="en-US"/>
        </w:rPr>
        <w:t xml:space="preserve"> </w:t>
      </w:r>
      <w:r w:rsidR="00C3018D" w:rsidRPr="00533D7F">
        <w:rPr>
          <w:rFonts w:asciiTheme="minorHAnsi" w:hAnsiTheme="minorHAnsi" w:cstheme="minorHAnsi"/>
          <w:lang w:val="en-US"/>
        </w:rPr>
        <w:t xml:space="preserve">The Court </w:t>
      </w:r>
      <w:r w:rsidR="00C3018D" w:rsidRPr="00533D7F">
        <w:rPr>
          <w:rFonts w:asciiTheme="minorHAnsi" w:hAnsiTheme="minorHAnsi" w:cstheme="minorHAnsi"/>
          <w:lang w:val="en-US"/>
        </w:rPr>
        <w:lastRenderedPageBreak/>
        <w:t>clarified</w:t>
      </w:r>
      <w:r w:rsidR="006D1AFE" w:rsidRPr="00533D7F">
        <w:rPr>
          <w:rFonts w:asciiTheme="minorHAnsi" w:hAnsiTheme="minorHAnsi" w:cstheme="minorHAnsi"/>
          <w:lang w:val="en-US"/>
        </w:rPr>
        <w:t>,</w:t>
      </w:r>
      <w:r w:rsidR="00C3018D" w:rsidRPr="00533D7F">
        <w:rPr>
          <w:rFonts w:asciiTheme="minorHAnsi" w:hAnsiTheme="minorHAnsi" w:cstheme="minorHAnsi"/>
          <w:lang w:val="en-US"/>
        </w:rPr>
        <w:t xml:space="preserve"> </w:t>
      </w:r>
      <w:r w:rsidR="004A0149" w:rsidRPr="00533D7F">
        <w:rPr>
          <w:rFonts w:asciiTheme="minorHAnsi" w:hAnsiTheme="minorHAnsi" w:cstheme="minorHAnsi"/>
          <w:lang w:val="en-US"/>
        </w:rPr>
        <w:t>however</w:t>
      </w:r>
      <w:r w:rsidR="006D1AFE" w:rsidRPr="00533D7F">
        <w:rPr>
          <w:rFonts w:asciiTheme="minorHAnsi" w:hAnsiTheme="minorHAnsi" w:cstheme="minorHAnsi"/>
          <w:lang w:val="en-US"/>
        </w:rPr>
        <w:t>,</w:t>
      </w:r>
      <w:r w:rsidR="00C3018D" w:rsidRPr="00533D7F">
        <w:rPr>
          <w:rFonts w:asciiTheme="minorHAnsi" w:hAnsiTheme="minorHAnsi" w:cstheme="minorHAnsi"/>
          <w:lang w:val="en-US"/>
        </w:rPr>
        <w:t xml:space="preserve"> that the Convention does not foresee or </w:t>
      </w:r>
      <w:r w:rsidR="00F26DF1" w:rsidRPr="00533D7F">
        <w:rPr>
          <w:rFonts w:asciiTheme="minorHAnsi" w:hAnsiTheme="minorHAnsi" w:cstheme="minorHAnsi"/>
          <w:lang w:val="en-US"/>
        </w:rPr>
        <w:t xml:space="preserve">at least </w:t>
      </w:r>
      <w:r w:rsidR="00C3018D" w:rsidRPr="00533D7F">
        <w:rPr>
          <w:rFonts w:asciiTheme="minorHAnsi" w:hAnsiTheme="minorHAnsi" w:cstheme="minorHAnsi"/>
          <w:lang w:val="en-US"/>
        </w:rPr>
        <w:t xml:space="preserve">should not be understood as providing a right </w:t>
      </w:r>
      <w:r w:rsidR="00C678CC" w:rsidRPr="00533D7F">
        <w:rPr>
          <w:rFonts w:asciiTheme="minorHAnsi" w:hAnsiTheme="minorHAnsi" w:cstheme="minorHAnsi"/>
          <w:lang w:val="en-US"/>
        </w:rPr>
        <w:t xml:space="preserve">to </w:t>
      </w:r>
      <w:r w:rsidR="00C3018D" w:rsidRPr="00533D7F">
        <w:rPr>
          <w:rFonts w:asciiTheme="minorHAnsi" w:hAnsiTheme="minorHAnsi" w:cstheme="minorHAnsi"/>
          <w:lang w:val="en-US"/>
        </w:rPr>
        <w:t>prohibit extradition</w:t>
      </w:r>
      <w:r w:rsidR="00C678CC" w:rsidRPr="00533D7F">
        <w:rPr>
          <w:rFonts w:asciiTheme="minorHAnsi" w:hAnsiTheme="minorHAnsi" w:cstheme="minorHAnsi"/>
          <w:lang w:val="en-US"/>
        </w:rPr>
        <w:t xml:space="preserve"> in </w:t>
      </w:r>
      <w:r w:rsidR="001F5DF3">
        <w:rPr>
          <w:rFonts w:asciiTheme="minorHAnsi" w:hAnsiTheme="minorHAnsi" w:cstheme="minorHAnsi"/>
          <w:lang w:val="en-US"/>
        </w:rPr>
        <w:t>the</w:t>
      </w:r>
      <w:r w:rsidR="00C678CC" w:rsidRPr="00533D7F">
        <w:rPr>
          <w:rFonts w:asciiTheme="minorHAnsi" w:hAnsiTheme="minorHAnsi" w:cstheme="minorHAnsi"/>
          <w:lang w:val="en-US"/>
        </w:rPr>
        <w:t xml:space="preserve"> case of </w:t>
      </w:r>
      <w:r w:rsidR="001F5DF3">
        <w:rPr>
          <w:rFonts w:asciiTheme="minorHAnsi" w:hAnsiTheme="minorHAnsi" w:cstheme="minorHAnsi"/>
          <w:lang w:val="en-US"/>
        </w:rPr>
        <w:t>a</w:t>
      </w:r>
      <w:r w:rsidR="00C678CC" w:rsidRPr="00533D7F">
        <w:rPr>
          <w:rFonts w:asciiTheme="minorHAnsi" w:hAnsiTheme="minorHAnsi" w:cstheme="minorHAnsi"/>
          <w:lang w:val="en-US"/>
        </w:rPr>
        <w:t xml:space="preserve"> potential death sentence</w:t>
      </w:r>
      <w:r w:rsidR="00C3018D" w:rsidRPr="00533D7F">
        <w:rPr>
          <w:rFonts w:asciiTheme="minorHAnsi" w:hAnsiTheme="minorHAnsi" w:cstheme="minorHAnsi"/>
          <w:lang w:val="en-US"/>
        </w:rPr>
        <w:t>.</w:t>
      </w:r>
      <w:r w:rsidR="00C678CC" w:rsidRPr="00533D7F">
        <w:rPr>
          <w:rFonts w:asciiTheme="minorHAnsi" w:hAnsiTheme="minorHAnsi" w:cstheme="minorHAnsi"/>
          <w:lang w:val="en-US"/>
        </w:rPr>
        <w:t xml:space="preserve"> </w:t>
      </w:r>
      <w:r w:rsidR="00047718" w:rsidRPr="00533D7F">
        <w:rPr>
          <w:rFonts w:asciiTheme="minorHAnsi" w:hAnsiTheme="minorHAnsi" w:cstheme="minorHAnsi"/>
          <w:lang w:val="en-US"/>
        </w:rPr>
        <w:t>In</w:t>
      </w:r>
      <w:r w:rsidR="006D1AFE" w:rsidRPr="00533D7F">
        <w:rPr>
          <w:rFonts w:asciiTheme="minorHAnsi" w:hAnsiTheme="minorHAnsi" w:cstheme="minorHAnsi"/>
          <w:lang w:val="en-US"/>
        </w:rPr>
        <w:t xml:space="preserve"> the present</w:t>
      </w:r>
      <w:r w:rsidR="00C3018D" w:rsidRPr="00533D7F">
        <w:rPr>
          <w:rFonts w:asciiTheme="minorHAnsi" w:hAnsiTheme="minorHAnsi" w:cstheme="minorHAnsi"/>
          <w:lang w:val="en-US"/>
        </w:rPr>
        <w:t xml:space="preserve"> case, </w:t>
      </w:r>
      <w:r w:rsidR="00047718" w:rsidRPr="00533D7F">
        <w:rPr>
          <w:rFonts w:asciiTheme="minorHAnsi" w:hAnsiTheme="minorHAnsi" w:cstheme="minorHAnsi"/>
          <w:lang w:val="en-US"/>
        </w:rPr>
        <w:t xml:space="preserve">however, </w:t>
      </w:r>
      <w:r w:rsidR="00C678CC" w:rsidRPr="00533D7F">
        <w:rPr>
          <w:rFonts w:asciiTheme="minorHAnsi" w:hAnsiTheme="minorHAnsi" w:cstheme="minorHAnsi"/>
          <w:lang w:val="en-US"/>
        </w:rPr>
        <w:t>the Court</w:t>
      </w:r>
      <w:r w:rsidR="00EE4BCA" w:rsidRPr="00533D7F">
        <w:rPr>
          <w:rFonts w:asciiTheme="minorHAnsi" w:hAnsiTheme="minorHAnsi" w:cstheme="minorHAnsi"/>
          <w:lang w:val="en-US"/>
        </w:rPr>
        <w:t xml:space="preserve"> </w:t>
      </w:r>
      <w:r w:rsidR="00304608" w:rsidRPr="00533D7F">
        <w:rPr>
          <w:rFonts w:asciiTheme="minorHAnsi" w:hAnsiTheme="minorHAnsi" w:cstheme="minorHAnsi"/>
          <w:lang w:val="en-US"/>
        </w:rPr>
        <w:t>did</w:t>
      </w:r>
      <w:r w:rsidR="00C678CC" w:rsidRPr="00533D7F">
        <w:rPr>
          <w:rFonts w:asciiTheme="minorHAnsi" w:hAnsiTheme="minorHAnsi" w:cstheme="minorHAnsi"/>
          <w:lang w:val="en-US"/>
        </w:rPr>
        <w:t xml:space="preserve"> consider that due to the</w:t>
      </w:r>
      <w:r w:rsidR="00BF10A0" w:rsidRPr="00533D7F">
        <w:rPr>
          <w:rFonts w:asciiTheme="minorHAnsi" w:hAnsiTheme="minorHAnsi" w:cstheme="minorHAnsi"/>
          <w:lang w:val="en-US"/>
        </w:rPr>
        <w:t xml:space="preserve"> way</w:t>
      </w:r>
      <w:r w:rsidR="00C678CC" w:rsidRPr="00533D7F">
        <w:rPr>
          <w:rFonts w:asciiTheme="minorHAnsi" w:hAnsiTheme="minorHAnsi" w:cstheme="minorHAnsi"/>
          <w:lang w:val="en-US"/>
        </w:rPr>
        <w:t xml:space="preserve"> post-sentence procedures</w:t>
      </w:r>
      <w:r w:rsidR="005F71B7" w:rsidRPr="00533D7F">
        <w:rPr>
          <w:rFonts w:asciiTheme="minorHAnsi" w:hAnsiTheme="minorHAnsi" w:cstheme="minorHAnsi"/>
          <w:lang w:val="en-US"/>
        </w:rPr>
        <w:t xml:space="preserve"> take place in the specific context of</w:t>
      </w:r>
      <w:r w:rsidR="00C678CC" w:rsidRPr="00533D7F">
        <w:rPr>
          <w:rFonts w:asciiTheme="minorHAnsi" w:hAnsiTheme="minorHAnsi" w:cstheme="minorHAnsi"/>
          <w:lang w:val="en-US"/>
        </w:rPr>
        <w:t xml:space="preserve"> Virginia, a prisoner </w:t>
      </w:r>
      <w:r w:rsidR="00C240E3" w:rsidRPr="00533D7F">
        <w:rPr>
          <w:rFonts w:asciiTheme="minorHAnsi" w:hAnsiTheme="minorHAnsi" w:cstheme="minorHAnsi"/>
          <w:lang w:val="en-US"/>
        </w:rPr>
        <w:t>“has to endure for many years the conditions on death row and the anguish and mounting tension of living in the ever-present shadow of death”.</w:t>
      </w:r>
      <w:r w:rsidR="00C240E3" w:rsidRPr="00533D7F">
        <w:rPr>
          <w:rStyle w:val="Appelnotedebasdep"/>
          <w:rFonts w:asciiTheme="minorHAnsi" w:hAnsiTheme="minorHAnsi" w:cstheme="minorHAnsi"/>
          <w:lang w:val="en-US"/>
        </w:rPr>
        <w:footnoteReference w:id="32"/>
      </w:r>
      <w:r w:rsidR="00C240E3" w:rsidRPr="00533D7F">
        <w:rPr>
          <w:rFonts w:asciiTheme="minorHAnsi" w:hAnsiTheme="minorHAnsi" w:cstheme="minorHAnsi"/>
          <w:lang w:val="en-US"/>
        </w:rPr>
        <w:t xml:space="preserve"> Adding to this the personal circumstances of </w:t>
      </w:r>
      <w:proofErr w:type="spellStart"/>
      <w:r w:rsidR="00C240E3" w:rsidRPr="00533D7F">
        <w:rPr>
          <w:rFonts w:asciiTheme="minorHAnsi" w:hAnsiTheme="minorHAnsi" w:cstheme="minorHAnsi"/>
          <w:lang w:val="en-US"/>
        </w:rPr>
        <w:t>Soering</w:t>
      </w:r>
      <w:proofErr w:type="spellEnd"/>
      <w:r w:rsidR="00C240E3" w:rsidRPr="00533D7F">
        <w:rPr>
          <w:rFonts w:asciiTheme="minorHAnsi" w:hAnsiTheme="minorHAnsi" w:cstheme="minorHAnsi"/>
          <w:lang w:val="en-US"/>
        </w:rPr>
        <w:t xml:space="preserve"> (his young age – he was 18 years old at the moment of the murder – and his mental state at the time of the offence – about which psychologist</w:t>
      </w:r>
      <w:r>
        <w:rPr>
          <w:rFonts w:asciiTheme="minorHAnsi" w:hAnsiTheme="minorHAnsi" w:cstheme="minorHAnsi"/>
          <w:lang w:val="en-US"/>
        </w:rPr>
        <w:t>s</w:t>
      </w:r>
      <w:r w:rsidR="00C240E3" w:rsidRPr="00533D7F">
        <w:rPr>
          <w:rFonts w:asciiTheme="minorHAnsi" w:hAnsiTheme="minorHAnsi" w:cstheme="minorHAnsi"/>
          <w:lang w:val="en-US"/>
        </w:rPr>
        <w:t xml:space="preserve"> have said that</w:t>
      </w:r>
      <w:r w:rsidR="00931239" w:rsidRPr="00533D7F">
        <w:rPr>
          <w:rFonts w:asciiTheme="minorHAnsi" w:hAnsiTheme="minorHAnsi" w:cstheme="minorHAnsi"/>
          <w:lang w:val="en-US"/>
        </w:rPr>
        <w:t xml:space="preserve"> </w:t>
      </w:r>
      <w:r w:rsidR="002D75E7" w:rsidRPr="00533D7F">
        <w:rPr>
          <w:rFonts w:asciiTheme="minorHAnsi" w:hAnsiTheme="minorHAnsi" w:cstheme="minorHAnsi"/>
          <w:lang w:val="en-US"/>
        </w:rPr>
        <w:t>he</w:t>
      </w:r>
      <w:r w:rsidR="00931239" w:rsidRPr="00533D7F">
        <w:rPr>
          <w:rFonts w:asciiTheme="minorHAnsi" w:hAnsiTheme="minorHAnsi" w:cstheme="minorHAnsi"/>
          <w:lang w:val="en-US"/>
        </w:rPr>
        <w:t xml:space="preserve"> was suffering from an “abnormality of mind due to inherent causes as substantially impaired his mental responsibility for his acts</w:t>
      </w:r>
      <w:r w:rsidR="0060445D" w:rsidRPr="00533D7F">
        <w:rPr>
          <w:rFonts w:asciiTheme="minorHAnsi" w:hAnsiTheme="minorHAnsi" w:cstheme="minorHAnsi"/>
          <w:lang w:val="en-US"/>
        </w:rPr>
        <w:t>”</w:t>
      </w:r>
      <w:r w:rsidR="00C240E3" w:rsidRPr="00533D7F">
        <w:rPr>
          <w:rStyle w:val="Appelnotedebasdep"/>
          <w:rFonts w:asciiTheme="minorHAnsi" w:hAnsiTheme="minorHAnsi" w:cstheme="minorHAnsi"/>
          <w:lang w:val="en-US"/>
        </w:rPr>
        <w:footnoteReference w:id="33"/>
      </w:r>
      <w:r w:rsidR="00C240E3" w:rsidRPr="00533D7F">
        <w:rPr>
          <w:rFonts w:asciiTheme="minorHAnsi" w:hAnsiTheme="minorHAnsi" w:cstheme="minorHAnsi"/>
          <w:lang w:val="en-US"/>
        </w:rPr>
        <w:t xml:space="preserve">) and the fact that Germany was willing to take him back </w:t>
      </w:r>
      <w:r w:rsidR="00F26DF1" w:rsidRPr="00533D7F">
        <w:rPr>
          <w:rFonts w:asciiTheme="minorHAnsi" w:hAnsiTheme="minorHAnsi" w:cstheme="minorHAnsi"/>
          <w:lang w:val="en-US"/>
        </w:rPr>
        <w:t>(</w:t>
      </w:r>
      <w:r w:rsidR="00C240E3" w:rsidRPr="00533D7F">
        <w:rPr>
          <w:rFonts w:asciiTheme="minorHAnsi" w:hAnsiTheme="minorHAnsi" w:cstheme="minorHAnsi"/>
          <w:lang w:val="en-US"/>
        </w:rPr>
        <w:t>meaning that</w:t>
      </w:r>
      <w:r w:rsidR="00931239" w:rsidRPr="00533D7F">
        <w:rPr>
          <w:rFonts w:asciiTheme="minorHAnsi" w:hAnsiTheme="minorHAnsi" w:cstheme="minorHAnsi"/>
          <w:lang w:val="en-US"/>
        </w:rPr>
        <w:t xml:space="preserve"> there was,</w:t>
      </w:r>
      <w:r w:rsidR="00C240E3" w:rsidRPr="00533D7F">
        <w:rPr>
          <w:rFonts w:asciiTheme="minorHAnsi" w:hAnsiTheme="minorHAnsi" w:cstheme="minorHAnsi"/>
          <w:lang w:val="en-US"/>
        </w:rPr>
        <w:t xml:space="preserve"> </w:t>
      </w:r>
      <w:r w:rsidR="00931239" w:rsidRPr="00533D7F">
        <w:rPr>
          <w:rFonts w:asciiTheme="minorHAnsi" w:hAnsiTheme="minorHAnsi" w:cstheme="minorHAnsi"/>
          <w:lang w:val="en-US"/>
        </w:rPr>
        <w:t xml:space="preserve">in fact, a scenario where </w:t>
      </w:r>
      <w:r w:rsidR="00C240E3" w:rsidRPr="00533D7F">
        <w:rPr>
          <w:rFonts w:asciiTheme="minorHAnsi" w:hAnsiTheme="minorHAnsi" w:cstheme="minorHAnsi"/>
          <w:lang w:val="en-US"/>
        </w:rPr>
        <w:t>he could undergo punishment and</w:t>
      </w:r>
      <w:r w:rsidR="00931239" w:rsidRPr="00533D7F">
        <w:rPr>
          <w:rFonts w:asciiTheme="minorHAnsi" w:hAnsiTheme="minorHAnsi" w:cstheme="minorHAnsi"/>
          <w:lang w:val="en-US"/>
        </w:rPr>
        <w:t xml:space="preserve"> </w:t>
      </w:r>
      <w:r w:rsidR="004C002D" w:rsidRPr="00533D7F">
        <w:rPr>
          <w:rFonts w:asciiTheme="minorHAnsi" w:hAnsiTheme="minorHAnsi" w:cstheme="minorHAnsi"/>
          <w:lang w:val="en-US"/>
        </w:rPr>
        <w:t>where the risk of</w:t>
      </w:r>
      <w:r w:rsidR="00C240E3" w:rsidRPr="00533D7F">
        <w:rPr>
          <w:rFonts w:asciiTheme="minorHAnsi" w:hAnsiTheme="minorHAnsi" w:cstheme="minorHAnsi"/>
          <w:lang w:val="en-US"/>
        </w:rPr>
        <w:t xml:space="preserve"> suffering linked to the death </w:t>
      </w:r>
      <w:r w:rsidR="008127CD">
        <w:rPr>
          <w:rFonts w:asciiTheme="minorHAnsi" w:hAnsiTheme="minorHAnsi" w:cstheme="minorHAnsi"/>
          <w:lang w:val="en-US"/>
        </w:rPr>
        <w:t>row phenomenon</w:t>
      </w:r>
      <w:r w:rsidR="008127CD" w:rsidRPr="00533D7F">
        <w:rPr>
          <w:rFonts w:asciiTheme="minorHAnsi" w:hAnsiTheme="minorHAnsi" w:cstheme="minorHAnsi"/>
          <w:lang w:val="en-US"/>
        </w:rPr>
        <w:t xml:space="preserve"> </w:t>
      </w:r>
      <w:r w:rsidR="004C002D" w:rsidRPr="00533D7F">
        <w:rPr>
          <w:rFonts w:asciiTheme="minorHAnsi" w:hAnsiTheme="minorHAnsi" w:cstheme="minorHAnsi"/>
          <w:lang w:val="en-US"/>
        </w:rPr>
        <w:t>would be eliminated</w:t>
      </w:r>
      <w:r w:rsidR="00F26DF1" w:rsidRPr="00533D7F">
        <w:rPr>
          <w:rFonts w:asciiTheme="minorHAnsi" w:hAnsiTheme="minorHAnsi" w:cstheme="minorHAnsi"/>
          <w:lang w:val="en-US"/>
        </w:rPr>
        <w:t>)</w:t>
      </w:r>
      <w:r w:rsidR="00C240E3" w:rsidRPr="00533D7F">
        <w:rPr>
          <w:rFonts w:asciiTheme="minorHAnsi" w:hAnsiTheme="minorHAnsi" w:cstheme="minorHAnsi"/>
          <w:lang w:val="en-US"/>
        </w:rPr>
        <w:t xml:space="preserve">, </w:t>
      </w:r>
      <w:r w:rsidR="00167B8B" w:rsidRPr="00533D7F">
        <w:rPr>
          <w:rFonts w:asciiTheme="minorHAnsi" w:hAnsiTheme="minorHAnsi" w:cstheme="minorHAnsi"/>
          <w:lang w:val="en-US"/>
        </w:rPr>
        <w:t>the Court decided</w:t>
      </w:r>
      <w:r w:rsidR="00C240E3" w:rsidRPr="00533D7F">
        <w:rPr>
          <w:rFonts w:asciiTheme="minorHAnsi" w:hAnsiTheme="minorHAnsi" w:cstheme="minorHAnsi"/>
          <w:lang w:val="en-US"/>
        </w:rPr>
        <w:t xml:space="preserve"> to rule that the extradition of </w:t>
      </w:r>
      <w:proofErr w:type="spellStart"/>
      <w:r w:rsidR="00C240E3" w:rsidRPr="00533D7F">
        <w:rPr>
          <w:rFonts w:asciiTheme="minorHAnsi" w:hAnsiTheme="minorHAnsi" w:cstheme="minorHAnsi"/>
          <w:lang w:val="en-US"/>
        </w:rPr>
        <w:t>Soering</w:t>
      </w:r>
      <w:proofErr w:type="spellEnd"/>
      <w:r w:rsidR="00C240E3" w:rsidRPr="00533D7F">
        <w:rPr>
          <w:rFonts w:asciiTheme="minorHAnsi" w:hAnsiTheme="minorHAnsi" w:cstheme="minorHAnsi"/>
          <w:lang w:val="en-US"/>
        </w:rPr>
        <w:t xml:space="preserve"> would </w:t>
      </w:r>
      <w:r w:rsidR="002818EC" w:rsidRPr="00533D7F">
        <w:rPr>
          <w:rFonts w:asciiTheme="minorHAnsi" w:hAnsiTheme="minorHAnsi" w:cstheme="minorHAnsi"/>
          <w:lang w:val="en-US"/>
        </w:rPr>
        <w:t xml:space="preserve">give rise to a breach of </w:t>
      </w:r>
      <w:r w:rsidR="001F5DF3">
        <w:rPr>
          <w:rFonts w:asciiTheme="minorHAnsi" w:hAnsiTheme="minorHAnsi" w:cstheme="minorHAnsi"/>
          <w:lang w:val="en-US"/>
        </w:rPr>
        <w:t>A</w:t>
      </w:r>
      <w:r w:rsidR="002818EC" w:rsidRPr="00533D7F">
        <w:rPr>
          <w:rFonts w:asciiTheme="minorHAnsi" w:hAnsiTheme="minorHAnsi" w:cstheme="minorHAnsi"/>
          <w:lang w:val="en-US"/>
        </w:rPr>
        <w:t>rticle 3</w:t>
      </w:r>
      <w:r w:rsidR="001D2335" w:rsidRPr="00533D7F">
        <w:rPr>
          <w:rFonts w:asciiTheme="minorHAnsi" w:hAnsiTheme="minorHAnsi" w:cstheme="minorHAnsi"/>
          <w:lang w:val="en-US"/>
        </w:rPr>
        <w:t xml:space="preserve"> ECHR</w:t>
      </w:r>
      <w:r w:rsidR="002818EC" w:rsidRPr="00533D7F">
        <w:rPr>
          <w:rFonts w:asciiTheme="minorHAnsi" w:hAnsiTheme="minorHAnsi" w:cstheme="minorHAnsi"/>
          <w:lang w:val="en-US"/>
        </w:rPr>
        <w:t>.</w:t>
      </w:r>
      <w:r w:rsidR="002818EC" w:rsidRPr="00533D7F">
        <w:rPr>
          <w:rStyle w:val="Appelnotedebasdep"/>
          <w:rFonts w:asciiTheme="minorHAnsi" w:hAnsiTheme="minorHAnsi" w:cstheme="minorHAnsi"/>
          <w:lang w:val="en-US"/>
        </w:rPr>
        <w:footnoteReference w:id="34"/>
      </w:r>
      <w:r w:rsidR="00810FCD" w:rsidRPr="00533D7F">
        <w:rPr>
          <w:rFonts w:asciiTheme="minorHAnsi" w:hAnsiTheme="minorHAnsi" w:cstheme="minorHAnsi"/>
          <w:sz w:val="20"/>
          <w:szCs w:val="20"/>
          <w:lang w:val="en-US"/>
        </w:rPr>
        <w:t xml:space="preserve"> </w:t>
      </w:r>
      <w:r w:rsidR="00627D76" w:rsidRPr="00533D7F">
        <w:rPr>
          <w:rFonts w:asciiTheme="minorHAnsi" w:hAnsiTheme="minorHAnsi" w:cstheme="minorHAnsi"/>
          <w:lang w:val="en-US"/>
        </w:rPr>
        <w:t>The Court rejected, however, the claims linked to potential breaches of</w:t>
      </w:r>
      <w:r w:rsidR="00647E3F">
        <w:rPr>
          <w:rFonts w:asciiTheme="minorHAnsi" w:hAnsiTheme="minorHAnsi" w:cstheme="minorHAnsi"/>
          <w:lang w:val="en-US"/>
        </w:rPr>
        <w:t xml:space="preserve"> his right to a fair trial</w:t>
      </w:r>
      <w:r w:rsidR="00627D76" w:rsidRPr="00533D7F">
        <w:rPr>
          <w:rFonts w:asciiTheme="minorHAnsi" w:hAnsiTheme="minorHAnsi" w:cstheme="minorHAnsi"/>
          <w:lang w:val="en-US"/>
        </w:rPr>
        <w:t xml:space="preserve"> </w:t>
      </w:r>
      <w:r w:rsidR="00647E3F">
        <w:rPr>
          <w:rFonts w:asciiTheme="minorHAnsi" w:hAnsiTheme="minorHAnsi" w:cstheme="minorHAnsi"/>
          <w:lang w:val="en-US"/>
        </w:rPr>
        <w:t>(</w:t>
      </w:r>
      <w:r w:rsidR="001F5DF3">
        <w:rPr>
          <w:rFonts w:asciiTheme="minorHAnsi" w:hAnsiTheme="minorHAnsi" w:cstheme="minorHAnsi"/>
          <w:lang w:val="en-US"/>
        </w:rPr>
        <w:t>A</w:t>
      </w:r>
      <w:r w:rsidR="00627D76" w:rsidRPr="00533D7F">
        <w:rPr>
          <w:rFonts w:asciiTheme="minorHAnsi" w:hAnsiTheme="minorHAnsi" w:cstheme="minorHAnsi"/>
          <w:lang w:val="en-US"/>
        </w:rPr>
        <w:t>rticle 6</w:t>
      </w:r>
      <w:r w:rsidR="00647E3F">
        <w:rPr>
          <w:rFonts w:asciiTheme="minorHAnsi" w:hAnsiTheme="minorHAnsi" w:cstheme="minorHAnsi"/>
          <w:lang w:val="en-US"/>
        </w:rPr>
        <w:t xml:space="preserve"> ECHR)</w:t>
      </w:r>
      <w:r w:rsidR="00627D76" w:rsidRPr="00533D7F">
        <w:rPr>
          <w:rFonts w:asciiTheme="minorHAnsi" w:hAnsiTheme="minorHAnsi" w:cstheme="minorHAnsi"/>
          <w:lang w:val="en-US"/>
        </w:rPr>
        <w:t xml:space="preserve"> and</w:t>
      </w:r>
      <w:r w:rsidR="00647E3F">
        <w:rPr>
          <w:rFonts w:asciiTheme="minorHAnsi" w:hAnsiTheme="minorHAnsi" w:cstheme="minorHAnsi"/>
          <w:lang w:val="en-US"/>
        </w:rPr>
        <w:t xml:space="preserve"> to an effective remedy</w:t>
      </w:r>
      <w:r w:rsidR="00627D76" w:rsidRPr="00533D7F">
        <w:rPr>
          <w:rFonts w:asciiTheme="minorHAnsi" w:hAnsiTheme="minorHAnsi" w:cstheme="minorHAnsi"/>
          <w:lang w:val="en-US"/>
        </w:rPr>
        <w:t xml:space="preserve"> </w:t>
      </w:r>
      <w:r w:rsidR="00647E3F">
        <w:rPr>
          <w:rFonts w:asciiTheme="minorHAnsi" w:hAnsiTheme="minorHAnsi" w:cstheme="minorHAnsi"/>
          <w:lang w:val="en-US"/>
        </w:rPr>
        <w:t>(</w:t>
      </w:r>
      <w:r w:rsidR="001F5DF3">
        <w:rPr>
          <w:rFonts w:asciiTheme="minorHAnsi" w:hAnsiTheme="minorHAnsi" w:cstheme="minorHAnsi"/>
          <w:lang w:val="en-US"/>
        </w:rPr>
        <w:t>A</w:t>
      </w:r>
      <w:r w:rsidR="00647E3F">
        <w:rPr>
          <w:rFonts w:asciiTheme="minorHAnsi" w:hAnsiTheme="minorHAnsi" w:cstheme="minorHAnsi"/>
          <w:lang w:val="en-US"/>
        </w:rPr>
        <w:t xml:space="preserve">rticle </w:t>
      </w:r>
      <w:r w:rsidR="00627D76" w:rsidRPr="00533D7F">
        <w:rPr>
          <w:rFonts w:asciiTheme="minorHAnsi" w:hAnsiTheme="minorHAnsi" w:cstheme="minorHAnsi"/>
          <w:lang w:val="en-US"/>
        </w:rPr>
        <w:t>13</w:t>
      </w:r>
      <w:r w:rsidR="00647E3F">
        <w:rPr>
          <w:rFonts w:asciiTheme="minorHAnsi" w:hAnsiTheme="minorHAnsi" w:cstheme="minorHAnsi"/>
          <w:lang w:val="en-US"/>
        </w:rPr>
        <w:t xml:space="preserve"> ECHR)</w:t>
      </w:r>
      <w:r w:rsidR="00627D76" w:rsidRPr="00533D7F">
        <w:rPr>
          <w:rFonts w:asciiTheme="minorHAnsi" w:hAnsiTheme="minorHAnsi" w:cstheme="minorHAnsi"/>
          <w:lang w:val="en-US"/>
        </w:rPr>
        <w:t xml:space="preserve"> that the applicant had</w:t>
      </w:r>
      <w:r>
        <w:rPr>
          <w:rFonts w:asciiTheme="minorHAnsi" w:hAnsiTheme="minorHAnsi" w:cstheme="minorHAnsi"/>
          <w:lang w:val="en-US"/>
        </w:rPr>
        <w:t xml:space="preserve"> also rai</w:t>
      </w:r>
      <w:r w:rsidR="0040658B">
        <w:rPr>
          <w:rFonts w:asciiTheme="minorHAnsi" w:hAnsiTheme="minorHAnsi" w:cstheme="minorHAnsi"/>
          <w:lang w:val="en-US"/>
        </w:rPr>
        <w:t>s</w:t>
      </w:r>
      <w:r>
        <w:rPr>
          <w:rFonts w:asciiTheme="minorHAnsi" w:hAnsiTheme="minorHAnsi" w:cstheme="minorHAnsi"/>
          <w:lang w:val="en-US"/>
        </w:rPr>
        <w:t>ed</w:t>
      </w:r>
      <w:r w:rsidR="00627D76" w:rsidRPr="00533D7F">
        <w:rPr>
          <w:rFonts w:asciiTheme="minorHAnsi" w:hAnsiTheme="minorHAnsi" w:cstheme="minorHAnsi"/>
          <w:lang w:val="en-US"/>
        </w:rPr>
        <w:t xml:space="preserve">. </w:t>
      </w:r>
    </w:p>
    <w:p w14:paraId="4BF5836E" w14:textId="26B70452" w:rsidR="00EE4BCA" w:rsidRPr="00533D7F" w:rsidRDefault="00EE4BCA" w:rsidP="00810FCD">
      <w:pPr>
        <w:autoSpaceDE w:val="0"/>
        <w:autoSpaceDN w:val="0"/>
        <w:adjustRightInd w:val="0"/>
        <w:jc w:val="both"/>
        <w:rPr>
          <w:rFonts w:asciiTheme="minorHAnsi" w:hAnsiTheme="minorHAnsi" w:cstheme="minorHAnsi"/>
          <w:lang w:val="en-US"/>
        </w:rPr>
      </w:pPr>
    </w:p>
    <w:p w14:paraId="5FD87D09" w14:textId="4AA4D05A" w:rsidR="0044045F" w:rsidRDefault="00F26DF1" w:rsidP="009A618B">
      <w:pPr>
        <w:jc w:val="both"/>
        <w:rPr>
          <w:rFonts w:asciiTheme="minorHAnsi" w:hAnsiTheme="minorHAnsi" w:cstheme="minorHAnsi"/>
          <w:color w:val="000000" w:themeColor="text1"/>
          <w:lang w:val="en-US"/>
        </w:rPr>
      </w:pPr>
      <w:r w:rsidRPr="00533D7F">
        <w:rPr>
          <w:rFonts w:asciiTheme="minorHAnsi" w:hAnsiTheme="minorHAnsi" w:cstheme="minorHAnsi"/>
          <w:lang w:val="en-US"/>
        </w:rPr>
        <w:t xml:space="preserve">The reason why this ruling </w:t>
      </w:r>
      <w:r w:rsidR="00435DC4" w:rsidRPr="00533D7F">
        <w:rPr>
          <w:rFonts w:asciiTheme="minorHAnsi" w:hAnsiTheme="minorHAnsi" w:cstheme="minorHAnsi"/>
          <w:lang w:val="en-US"/>
        </w:rPr>
        <w:t>wa</w:t>
      </w:r>
      <w:r w:rsidRPr="00533D7F">
        <w:rPr>
          <w:rFonts w:asciiTheme="minorHAnsi" w:hAnsiTheme="minorHAnsi" w:cstheme="minorHAnsi"/>
          <w:lang w:val="en-US"/>
        </w:rPr>
        <w:t xml:space="preserve">s so revolutionary </w:t>
      </w:r>
      <w:r w:rsidR="00435DC4" w:rsidRPr="00533D7F">
        <w:rPr>
          <w:rFonts w:asciiTheme="minorHAnsi" w:hAnsiTheme="minorHAnsi" w:cstheme="minorHAnsi"/>
          <w:lang w:val="en-US"/>
        </w:rPr>
        <w:t>at the time</w:t>
      </w:r>
      <w:r w:rsidR="003A077A" w:rsidRPr="00533D7F">
        <w:rPr>
          <w:rFonts w:asciiTheme="minorHAnsi" w:hAnsiTheme="minorHAnsi" w:cstheme="minorHAnsi"/>
          <w:lang w:val="en-US"/>
        </w:rPr>
        <w:t xml:space="preserve"> (and still is today)</w:t>
      </w:r>
      <w:r w:rsidR="00435DC4" w:rsidRPr="00533D7F">
        <w:rPr>
          <w:rFonts w:asciiTheme="minorHAnsi" w:hAnsiTheme="minorHAnsi" w:cstheme="minorHAnsi"/>
          <w:lang w:val="en-US"/>
        </w:rPr>
        <w:t xml:space="preserve"> </w:t>
      </w:r>
      <w:r w:rsidRPr="00533D7F">
        <w:rPr>
          <w:rFonts w:asciiTheme="minorHAnsi" w:hAnsiTheme="minorHAnsi" w:cstheme="minorHAnsi"/>
          <w:lang w:val="en-US"/>
        </w:rPr>
        <w:t xml:space="preserve">is because </w:t>
      </w:r>
      <w:r w:rsidR="00B26022" w:rsidRPr="00533D7F">
        <w:rPr>
          <w:rFonts w:asciiTheme="minorHAnsi" w:hAnsiTheme="minorHAnsi" w:cstheme="minorHAnsi"/>
          <w:lang w:val="en-US"/>
        </w:rPr>
        <w:t>the Court, for the first time,</w:t>
      </w:r>
      <w:r w:rsidRPr="00533D7F">
        <w:rPr>
          <w:rFonts w:asciiTheme="minorHAnsi" w:hAnsiTheme="minorHAnsi" w:cstheme="minorHAnsi"/>
          <w:lang w:val="en-US"/>
        </w:rPr>
        <w:t xml:space="preserve"> conditioned</w:t>
      </w:r>
      <w:r w:rsidR="00CC7429" w:rsidRPr="00533D7F">
        <w:rPr>
          <w:rFonts w:asciiTheme="minorHAnsi" w:hAnsiTheme="minorHAnsi" w:cstheme="minorHAnsi"/>
          <w:lang w:val="en-US"/>
        </w:rPr>
        <w:t xml:space="preserve"> </w:t>
      </w:r>
      <w:r w:rsidR="008139E5" w:rsidRPr="00533D7F">
        <w:rPr>
          <w:rFonts w:asciiTheme="minorHAnsi" w:hAnsiTheme="minorHAnsi" w:cstheme="minorHAnsi"/>
          <w:lang w:val="en-US"/>
        </w:rPr>
        <w:t>an</w:t>
      </w:r>
      <w:r w:rsidR="00CC7429" w:rsidRPr="00533D7F">
        <w:rPr>
          <w:rFonts w:asciiTheme="minorHAnsi" w:hAnsiTheme="minorHAnsi" w:cstheme="minorHAnsi"/>
          <w:lang w:val="en-US"/>
        </w:rPr>
        <w:t xml:space="preserve"> extradition </w:t>
      </w:r>
      <w:r w:rsidR="001E2194" w:rsidRPr="00533D7F">
        <w:rPr>
          <w:rFonts w:asciiTheme="minorHAnsi" w:hAnsiTheme="minorHAnsi" w:cstheme="minorHAnsi"/>
          <w:lang w:val="en-US"/>
        </w:rPr>
        <w:t>upon the respect of the fundamental rights of the person to be extradited, and this in a rather far-reaching way. Indeed, it did not suffice that the United Kingdom sought diplomatic assurances, it was also irrelevant that the potential breach would be committed by a third state and not by a Contracting Party</w:t>
      </w:r>
      <w:r w:rsidR="0050592C" w:rsidRPr="00533D7F">
        <w:rPr>
          <w:rFonts w:asciiTheme="minorHAnsi" w:hAnsiTheme="minorHAnsi" w:cstheme="minorHAnsi"/>
          <w:lang w:val="en-US"/>
        </w:rPr>
        <w:t xml:space="preserve">, and it </w:t>
      </w:r>
      <w:r w:rsidR="0093635C" w:rsidRPr="00533D7F">
        <w:rPr>
          <w:rFonts w:asciiTheme="minorHAnsi" w:hAnsiTheme="minorHAnsi" w:cstheme="minorHAnsi"/>
          <w:lang w:val="en-US"/>
        </w:rPr>
        <w:t>did</w:t>
      </w:r>
      <w:r w:rsidR="0050592C" w:rsidRPr="00533D7F">
        <w:rPr>
          <w:rFonts w:asciiTheme="minorHAnsi" w:hAnsiTheme="minorHAnsi" w:cstheme="minorHAnsi"/>
          <w:lang w:val="en-US"/>
        </w:rPr>
        <w:t xml:space="preserve"> not matter that </w:t>
      </w:r>
      <w:proofErr w:type="spellStart"/>
      <w:r w:rsidR="0093635C" w:rsidRPr="00533D7F">
        <w:rPr>
          <w:rFonts w:asciiTheme="minorHAnsi" w:hAnsiTheme="minorHAnsi" w:cstheme="minorHAnsi"/>
          <w:lang w:val="en-US"/>
        </w:rPr>
        <w:t>Soering</w:t>
      </w:r>
      <w:proofErr w:type="spellEnd"/>
      <w:r w:rsidR="0093635C" w:rsidRPr="00533D7F">
        <w:rPr>
          <w:rFonts w:asciiTheme="minorHAnsi" w:hAnsiTheme="minorHAnsi" w:cstheme="minorHAnsi"/>
          <w:lang w:val="en-US"/>
        </w:rPr>
        <w:t xml:space="preserve"> was </w:t>
      </w:r>
      <w:r w:rsidR="0050592C" w:rsidRPr="00533D7F">
        <w:rPr>
          <w:rFonts w:asciiTheme="minorHAnsi" w:hAnsiTheme="minorHAnsi" w:cstheme="minorHAnsi"/>
          <w:lang w:val="en-US"/>
        </w:rPr>
        <w:t xml:space="preserve">sent to a </w:t>
      </w:r>
      <w:r w:rsidR="0093635C" w:rsidRPr="00533D7F">
        <w:rPr>
          <w:rFonts w:asciiTheme="minorHAnsi" w:hAnsiTheme="minorHAnsi" w:cstheme="minorHAnsi"/>
          <w:lang w:val="en-US"/>
        </w:rPr>
        <w:t>State</w:t>
      </w:r>
      <w:r w:rsidR="0050592C" w:rsidRPr="00533D7F">
        <w:rPr>
          <w:rFonts w:asciiTheme="minorHAnsi" w:hAnsiTheme="minorHAnsi" w:cstheme="minorHAnsi"/>
          <w:lang w:val="en-US"/>
        </w:rPr>
        <w:t xml:space="preserve"> that the Court </w:t>
      </w:r>
      <w:r w:rsidR="00C269C1" w:rsidRPr="00533D7F">
        <w:rPr>
          <w:rFonts w:asciiTheme="minorHAnsi" w:hAnsiTheme="minorHAnsi" w:cstheme="minorHAnsi"/>
          <w:lang w:val="en-US"/>
        </w:rPr>
        <w:t>viewed as</w:t>
      </w:r>
      <w:r w:rsidR="0050592C" w:rsidRPr="00533D7F">
        <w:rPr>
          <w:rFonts w:asciiTheme="minorHAnsi" w:hAnsiTheme="minorHAnsi" w:cstheme="minorHAnsi"/>
          <w:lang w:val="en-US"/>
        </w:rPr>
        <w:t xml:space="preserve"> democratic</w:t>
      </w:r>
      <w:r w:rsidR="00AB7A81">
        <w:rPr>
          <w:rFonts w:asciiTheme="minorHAnsi" w:hAnsiTheme="minorHAnsi" w:cstheme="minorHAnsi"/>
          <w:lang w:val="en-US"/>
        </w:rPr>
        <w:t>:</w:t>
      </w:r>
      <w:r w:rsidR="0050592C" w:rsidRPr="00533D7F">
        <w:rPr>
          <w:rStyle w:val="Appelnotedebasdep"/>
          <w:rFonts w:asciiTheme="minorHAnsi" w:hAnsiTheme="minorHAnsi" w:cstheme="minorHAnsi"/>
          <w:lang w:val="en-US"/>
        </w:rPr>
        <w:footnoteReference w:id="35"/>
      </w:r>
      <w:r w:rsidR="001E2194" w:rsidRPr="00533D7F">
        <w:rPr>
          <w:rFonts w:asciiTheme="minorHAnsi" w:hAnsiTheme="minorHAnsi" w:cstheme="minorHAnsi"/>
          <w:lang w:val="en-US"/>
        </w:rPr>
        <w:t xml:space="preserve"> the ruling effectively extended the responsibility of Contracting Part</w:t>
      </w:r>
      <w:r w:rsidR="006660EA" w:rsidRPr="00533D7F">
        <w:rPr>
          <w:rFonts w:asciiTheme="minorHAnsi" w:hAnsiTheme="minorHAnsi" w:cstheme="minorHAnsi"/>
          <w:lang w:val="en-US"/>
        </w:rPr>
        <w:t>ies</w:t>
      </w:r>
      <w:r w:rsidR="001E2194" w:rsidRPr="00533D7F">
        <w:rPr>
          <w:rFonts w:asciiTheme="minorHAnsi" w:hAnsiTheme="minorHAnsi" w:cstheme="minorHAnsi"/>
          <w:lang w:val="en-US"/>
        </w:rPr>
        <w:t xml:space="preserve"> with regards to the fundamental rights of the person they have in their hands </w:t>
      </w:r>
      <w:r w:rsidR="006660EA" w:rsidRPr="00533D7F">
        <w:rPr>
          <w:rFonts w:asciiTheme="minorHAnsi" w:hAnsiTheme="minorHAnsi" w:cstheme="minorHAnsi"/>
          <w:lang w:val="en-US"/>
        </w:rPr>
        <w:t>all the way until the</w:t>
      </w:r>
      <w:r w:rsidR="009A4863" w:rsidRPr="00533D7F">
        <w:rPr>
          <w:rFonts w:asciiTheme="minorHAnsi" w:hAnsiTheme="minorHAnsi" w:cstheme="minorHAnsi"/>
          <w:lang w:val="en-US"/>
        </w:rPr>
        <w:t xml:space="preserve"> very last </w:t>
      </w:r>
      <w:r w:rsidR="005B6D54" w:rsidRPr="00533D7F">
        <w:rPr>
          <w:rFonts w:asciiTheme="minorHAnsi" w:hAnsiTheme="minorHAnsi" w:cstheme="minorHAnsi"/>
          <w:lang w:val="en-US"/>
        </w:rPr>
        <w:t>result</w:t>
      </w:r>
      <w:r w:rsidR="009A4863" w:rsidRPr="00533D7F">
        <w:rPr>
          <w:rFonts w:asciiTheme="minorHAnsi" w:hAnsiTheme="minorHAnsi" w:cstheme="minorHAnsi"/>
          <w:lang w:val="en-US"/>
        </w:rPr>
        <w:t xml:space="preserve"> of their action has </w:t>
      </w:r>
      <w:r w:rsidR="005B6D54" w:rsidRPr="00533D7F">
        <w:rPr>
          <w:rFonts w:asciiTheme="minorHAnsi" w:hAnsiTheme="minorHAnsi" w:cstheme="minorHAnsi"/>
          <w:lang w:val="en-US"/>
        </w:rPr>
        <w:t>revealed</w:t>
      </w:r>
      <w:r w:rsidR="009A4863" w:rsidRPr="00533D7F">
        <w:rPr>
          <w:rFonts w:asciiTheme="minorHAnsi" w:hAnsiTheme="minorHAnsi" w:cstheme="minorHAnsi"/>
          <w:lang w:val="en-US"/>
        </w:rPr>
        <w:t xml:space="preserve"> itself. The responsibility of the Contracting Parties is thus engaged not only until the person leaves their jurisdiction, but until </w:t>
      </w:r>
      <w:r w:rsidR="00125AFB" w:rsidRPr="00533D7F">
        <w:rPr>
          <w:rFonts w:asciiTheme="minorHAnsi" w:hAnsiTheme="minorHAnsi" w:cstheme="minorHAnsi"/>
          <w:lang w:val="en-US"/>
        </w:rPr>
        <w:t>all</w:t>
      </w:r>
      <w:r w:rsidR="009A4863" w:rsidRPr="00533D7F">
        <w:rPr>
          <w:rFonts w:asciiTheme="minorHAnsi" w:hAnsiTheme="minorHAnsi" w:cstheme="minorHAnsi"/>
          <w:lang w:val="en-US"/>
        </w:rPr>
        <w:t xml:space="preserve"> consequence</w:t>
      </w:r>
      <w:r w:rsidR="00125AFB" w:rsidRPr="00533D7F">
        <w:rPr>
          <w:rFonts w:asciiTheme="minorHAnsi" w:hAnsiTheme="minorHAnsi" w:cstheme="minorHAnsi"/>
          <w:lang w:val="en-US"/>
        </w:rPr>
        <w:t>s</w:t>
      </w:r>
      <w:r w:rsidR="00B84913" w:rsidRPr="00533D7F">
        <w:rPr>
          <w:rFonts w:asciiTheme="minorHAnsi" w:hAnsiTheme="minorHAnsi" w:cstheme="minorHAnsi"/>
          <w:lang w:val="en-US"/>
        </w:rPr>
        <w:t xml:space="preserve"> deriving from</w:t>
      </w:r>
      <w:r w:rsidR="009A4863" w:rsidRPr="00533D7F">
        <w:rPr>
          <w:rFonts w:asciiTheme="minorHAnsi" w:hAnsiTheme="minorHAnsi" w:cstheme="minorHAnsi"/>
          <w:lang w:val="en-US"/>
        </w:rPr>
        <w:t xml:space="preserve"> their action ha</w:t>
      </w:r>
      <w:r w:rsidR="00125AFB" w:rsidRPr="00533D7F">
        <w:rPr>
          <w:rFonts w:asciiTheme="minorHAnsi" w:hAnsiTheme="minorHAnsi" w:cstheme="minorHAnsi"/>
          <w:lang w:val="en-US"/>
        </w:rPr>
        <w:t xml:space="preserve">ve </w:t>
      </w:r>
      <w:r w:rsidR="009A4863" w:rsidRPr="00533D7F">
        <w:rPr>
          <w:rFonts w:asciiTheme="minorHAnsi" w:hAnsiTheme="minorHAnsi" w:cstheme="minorHAnsi"/>
          <w:lang w:val="en-US"/>
        </w:rPr>
        <w:t>unfolded</w:t>
      </w:r>
      <w:r w:rsidR="0050592C" w:rsidRPr="00533D7F">
        <w:rPr>
          <w:rFonts w:asciiTheme="minorHAnsi" w:hAnsiTheme="minorHAnsi" w:cstheme="minorHAnsi"/>
          <w:lang w:val="en-US"/>
        </w:rPr>
        <w:t>.</w:t>
      </w:r>
      <w:r w:rsidR="006660EA" w:rsidRPr="00533D7F">
        <w:rPr>
          <w:rFonts w:asciiTheme="minorHAnsi" w:hAnsiTheme="minorHAnsi" w:cstheme="minorHAnsi"/>
          <w:lang w:val="en-US"/>
        </w:rPr>
        <w:t xml:space="preserve"> </w:t>
      </w:r>
      <w:r w:rsidR="001F5DF3">
        <w:rPr>
          <w:rFonts w:asciiTheme="minorHAnsi" w:hAnsiTheme="minorHAnsi" w:cstheme="minorHAnsi"/>
          <w:lang w:val="en-US"/>
        </w:rPr>
        <w:t>T</w:t>
      </w:r>
      <w:r w:rsidR="00125AFB" w:rsidRPr="00533D7F">
        <w:rPr>
          <w:rFonts w:asciiTheme="minorHAnsi" w:hAnsiTheme="minorHAnsi" w:cstheme="minorHAnsi"/>
          <w:lang w:val="en-US"/>
        </w:rPr>
        <w:t>his</w:t>
      </w:r>
      <w:r w:rsidR="009A4863" w:rsidRPr="00533D7F">
        <w:rPr>
          <w:rFonts w:asciiTheme="minorHAnsi" w:hAnsiTheme="minorHAnsi" w:cstheme="minorHAnsi"/>
          <w:lang w:val="en-US"/>
        </w:rPr>
        <w:t xml:space="preserve"> ruling thus introduced </w:t>
      </w:r>
      <w:r w:rsidR="00227597" w:rsidRPr="00533D7F">
        <w:rPr>
          <w:rFonts w:asciiTheme="minorHAnsi" w:hAnsiTheme="minorHAnsi" w:cstheme="minorHAnsi"/>
          <w:lang w:val="en-US"/>
        </w:rPr>
        <w:t>major</w:t>
      </w:r>
      <w:r w:rsidR="009A4863" w:rsidRPr="00533D7F">
        <w:rPr>
          <w:rFonts w:asciiTheme="minorHAnsi" w:hAnsiTheme="minorHAnsi" w:cstheme="minorHAnsi"/>
          <w:lang w:val="en-US"/>
        </w:rPr>
        <w:t xml:space="preserve"> </w:t>
      </w:r>
      <w:r w:rsidR="009A4863" w:rsidRPr="00533D7F">
        <w:rPr>
          <w:rFonts w:asciiTheme="minorHAnsi" w:hAnsiTheme="minorHAnsi" w:cstheme="minorHAnsi"/>
          <w:color w:val="000000" w:themeColor="text1"/>
          <w:lang w:val="en-US"/>
        </w:rPr>
        <w:t>human rights filters to extradition.</w:t>
      </w:r>
      <w:r w:rsidR="00664500" w:rsidRPr="00533D7F">
        <w:rPr>
          <w:rFonts w:asciiTheme="minorHAnsi" w:hAnsiTheme="minorHAnsi" w:cstheme="minorHAnsi"/>
          <w:color w:val="000000" w:themeColor="text1"/>
          <w:lang w:val="en-US"/>
        </w:rPr>
        <w:t xml:space="preserve"> The Court was very careful, however, in clarifying that this should not be understood as a prohibition to extradite unless </w:t>
      </w:r>
      <w:r w:rsidR="00D26962" w:rsidRPr="00533D7F">
        <w:rPr>
          <w:rFonts w:asciiTheme="minorHAnsi" w:hAnsiTheme="minorHAnsi" w:cstheme="minorHAnsi"/>
          <w:color w:val="000000" w:themeColor="text1"/>
          <w:lang w:val="en-US"/>
        </w:rPr>
        <w:t xml:space="preserve">the Convention standards are respected by all countries who wish to cooperate with </w:t>
      </w:r>
      <w:r w:rsidR="00A92C3D">
        <w:rPr>
          <w:rFonts w:asciiTheme="minorHAnsi" w:hAnsiTheme="minorHAnsi" w:cstheme="minorHAnsi"/>
          <w:color w:val="000000" w:themeColor="text1"/>
          <w:lang w:val="en-US"/>
        </w:rPr>
        <w:t xml:space="preserve">the </w:t>
      </w:r>
      <w:r w:rsidR="00D26962" w:rsidRPr="00533D7F">
        <w:rPr>
          <w:rFonts w:asciiTheme="minorHAnsi" w:hAnsiTheme="minorHAnsi" w:cstheme="minorHAnsi"/>
          <w:color w:val="000000" w:themeColor="text1"/>
          <w:lang w:val="en-US"/>
        </w:rPr>
        <w:t>Council of Europe</w:t>
      </w:r>
      <w:r w:rsidR="00A92C3D">
        <w:rPr>
          <w:rFonts w:asciiTheme="minorHAnsi" w:hAnsiTheme="minorHAnsi" w:cstheme="minorHAnsi"/>
          <w:color w:val="000000" w:themeColor="text1"/>
          <w:lang w:val="en-US"/>
        </w:rPr>
        <w:t>’s</w:t>
      </w:r>
      <w:r w:rsidR="00E338B6">
        <w:rPr>
          <w:rFonts w:asciiTheme="minorHAnsi" w:hAnsiTheme="minorHAnsi" w:cstheme="minorHAnsi"/>
          <w:color w:val="000000" w:themeColor="text1"/>
          <w:lang w:val="en-US"/>
        </w:rPr>
        <w:t xml:space="preserve"> </w:t>
      </w:r>
      <w:r w:rsidR="00D26962" w:rsidRPr="00533D7F">
        <w:rPr>
          <w:rFonts w:asciiTheme="minorHAnsi" w:hAnsiTheme="minorHAnsi" w:cstheme="minorHAnsi"/>
          <w:color w:val="000000" w:themeColor="text1"/>
          <w:lang w:val="en-US"/>
        </w:rPr>
        <w:t>Contracting Parties. The</w:t>
      </w:r>
      <w:r w:rsidR="00664500" w:rsidRPr="00533D7F">
        <w:rPr>
          <w:rFonts w:asciiTheme="minorHAnsi" w:hAnsiTheme="minorHAnsi" w:cstheme="minorHAnsi"/>
          <w:color w:val="000000" w:themeColor="text1"/>
          <w:lang w:val="en-US"/>
        </w:rPr>
        <w:t xml:space="preserve"> purpose</w:t>
      </w:r>
      <w:r w:rsidR="0018218C" w:rsidRPr="00533D7F">
        <w:rPr>
          <w:rFonts w:asciiTheme="minorHAnsi" w:hAnsiTheme="minorHAnsi" w:cstheme="minorHAnsi"/>
          <w:color w:val="000000" w:themeColor="text1"/>
          <w:lang w:val="en-US"/>
        </w:rPr>
        <w:t xml:space="preserve"> of this ruling</w:t>
      </w:r>
      <w:r w:rsidR="00664500" w:rsidRPr="00533D7F">
        <w:rPr>
          <w:rFonts w:asciiTheme="minorHAnsi" w:hAnsiTheme="minorHAnsi" w:cstheme="minorHAnsi"/>
          <w:color w:val="000000" w:themeColor="text1"/>
          <w:lang w:val="en-US"/>
        </w:rPr>
        <w:t xml:space="preserve"> </w:t>
      </w:r>
      <w:r w:rsidR="0071511C">
        <w:rPr>
          <w:rFonts w:asciiTheme="minorHAnsi" w:hAnsiTheme="minorHAnsi" w:cstheme="minorHAnsi"/>
          <w:color w:val="000000" w:themeColor="text1"/>
          <w:lang w:val="en-US"/>
        </w:rPr>
        <w:t>wa</w:t>
      </w:r>
      <w:r w:rsidR="00664500" w:rsidRPr="00533D7F">
        <w:rPr>
          <w:rFonts w:asciiTheme="minorHAnsi" w:hAnsiTheme="minorHAnsi" w:cstheme="minorHAnsi"/>
          <w:color w:val="000000" w:themeColor="text1"/>
          <w:lang w:val="en-US"/>
        </w:rPr>
        <w:t>s</w:t>
      </w:r>
      <w:r w:rsidR="0018218C" w:rsidRPr="00533D7F">
        <w:rPr>
          <w:rFonts w:asciiTheme="minorHAnsi" w:hAnsiTheme="minorHAnsi" w:cstheme="minorHAnsi"/>
          <w:color w:val="000000" w:themeColor="text1"/>
          <w:lang w:val="en-US"/>
        </w:rPr>
        <w:t xml:space="preserve"> thus </w:t>
      </w:r>
      <w:r w:rsidR="00D26962" w:rsidRPr="00533D7F">
        <w:rPr>
          <w:rFonts w:asciiTheme="minorHAnsi" w:hAnsiTheme="minorHAnsi" w:cstheme="minorHAnsi"/>
          <w:color w:val="000000" w:themeColor="text1"/>
          <w:lang w:val="en-US"/>
        </w:rPr>
        <w:t xml:space="preserve">by no means </w:t>
      </w:r>
      <w:r w:rsidR="00664500" w:rsidRPr="00533D7F">
        <w:rPr>
          <w:rFonts w:asciiTheme="minorHAnsi" w:hAnsiTheme="minorHAnsi" w:cstheme="minorHAnsi"/>
          <w:color w:val="000000" w:themeColor="text1"/>
          <w:lang w:val="en-US"/>
        </w:rPr>
        <w:t>to “impose Convention standards on other States”.</w:t>
      </w:r>
      <w:r w:rsidR="00664500" w:rsidRPr="00533D7F">
        <w:rPr>
          <w:rStyle w:val="Appelnotedebasdep"/>
          <w:rFonts w:asciiTheme="minorHAnsi" w:hAnsiTheme="minorHAnsi" w:cstheme="minorHAnsi"/>
          <w:color w:val="000000" w:themeColor="text1"/>
          <w:lang w:val="en-US"/>
        </w:rPr>
        <w:footnoteReference w:id="36"/>
      </w:r>
      <w:r w:rsidR="00664500" w:rsidRPr="00533D7F">
        <w:rPr>
          <w:rFonts w:asciiTheme="minorHAnsi" w:hAnsiTheme="minorHAnsi" w:cstheme="minorHAnsi"/>
          <w:color w:val="000000" w:themeColor="text1"/>
          <w:lang w:val="en-US"/>
        </w:rPr>
        <w:t xml:space="preserve"> </w:t>
      </w:r>
      <w:r w:rsidR="0018218C" w:rsidRPr="00533D7F">
        <w:rPr>
          <w:rFonts w:asciiTheme="minorHAnsi" w:hAnsiTheme="minorHAnsi" w:cstheme="minorHAnsi"/>
          <w:color w:val="000000" w:themeColor="text1"/>
          <w:lang w:val="en-US"/>
        </w:rPr>
        <w:t xml:space="preserve">It </w:t>
      </w:r>
      <w:r w:rsidR="00144F88">
        <w:rPr>
          <w:rFonts w:asciiTheme="minorHAnsi" w:hAnsiTheme="minorHAnsi" w:cstheme="minorHAnsi"/>
          <w:color w:val="000000" w:themeColor="text1"/>
          <w:lang w:val="en-US"/>
        </w:rPr>
        <w:t>wa</w:t>
      </w:r>
      <w:r w:rsidR="0018218C" w:rsidRPr="00533D7F">
        <w:rPr>
          <w:rFonts w:asciiTheme="minorHAnsi" w:hAnsiTheme="minorHAnsi" w:cstheme="minorHAnsi"/>
          <w:color w:val="000000" w:themeColor="text1"/>
          <w:lang w:val="en-US"/>
        </w:rPr>
        <w:t>s to engage the Contracting Parties’ responsibility “for all and any foreseeable consequences of extradition suffered outside their jurisdiction”</w:t>
      </w:r>
      <w:r w:rsidR="007C32B7" w:rsidRPr="00533D7F">
        <w:rPr>
          <w:rFonts w:asciiTheme="minorHAnsi" w:hAnsiTheme="minorHAnsi" w:cstheme="minorHAnsi"/>
          <w:color w:val="000000" w:themeColor="text1"/>
          <w:lang w:val="en-US"/>
        </w:rPr>
        <w:t xml:space="preserve"> so as to “make the safeguards [of the Convention] practical and effective”.</w:t>
      </w:r>
      <w:r w:rsidR="0018218C" w:rsidRPr="00533D7F">
        <w:rPr>
          <w:rStyle w:val="Appelnotedebasdep"/>
          <w:rFonts w:asciiTheme="minorHAnsi" w:hAnsiTheme="minorHAnsi" w:cstheme="minorHAnsi"/>
          <w:color w:val="000000" w:themeColor="text1"/>
          <w:lang w:val="en-US"/>
        </w:rPr>
        <w:footnoteReference w:id="37"/>
      </w:r>
      <w:r w:rsidR="003B25A1" w:rsidRPr="00533D7F">
        <w:rPr>
          <w:rFonts w:asciiTheme="minorHAnsi" w:hAnsiTheme="minorHAnsi" w:cstheme="minorHAnsi"/>
          <w:color w:val="000000" w:themeColor="text1"/>
          <w:lang w:val="en-US"/>
        </w:rPr>
        <w:t xml:space="preserve"> </w:t>
      </w:r>
      <w:r w:rsidR="00280DFA" w:rsidRPr="00533D7F">
        <w:rPr>
          <w:rFonts w:asciiTheme="minorHAnsi" w:hAnsiTheme="minorHAnsi" w:cstheme="minorHAnsi"/>
          <w:color w:val="000000" w:themeColor="text1"/>
          <w:lang w:val="en-US"/>
        </w:rPr>
        <w:t xml:space="preserve">This rationale not only applies to extradition, but also to deportations where other articles of the Convention are potentially engaged, as has been demonstrated </w:t>
      </w:r>
      <w:r w:rsidR="00F22116" w:rsidRPr="00533D7F">
        <w:rPr>
          <w:rFonts w:asciiTheme="minorHAnsi" w:hAnsiTheme="minorHAnsi" w:cstheme="minorHAnsi"/>
          <w:color w:val="000000" w:themeColor="text1"/>
          <w:lang w:val="en-US"/>
        </w:rPr>
        <w:t xml:space="preserve">by subsequent cases, the most notable of which being the one of </w:t>
      </w:r>
      <w:r w:rsidR="00F22116" w:rsidRPr="00D54D8D">
        <w:rPr>
          <w:rFonts w:asciiTheme="minorHAnsi" w:hAnsiTheme="minorHAnsi"/>
          <w:i/>
          <w:color w:val="000000" w:themeColor="text1"/>
          <w:shd w:val="clear" w:color="auto" w:fill="FFFFFF"/>
          <w:lang w:val="en-US"/>
        </w:rPr>
        <w:t>Othman (Abu Qatada) v. The United Kingdom</w:t>
      </w:r>
      <w:r w:rsidR="00F22116" w:rsidRPr="00533D7F">
        <w:rPr>
          <w:rFonts w:asciiTheme="minorHAnsi" w:hAnsiTheme="minorHAnsi" w:cstheme="minorHAnsi"/>
          <w:color w:val="000000" w:themeColor="text1"/>
          <w:lang w:val="en-US"/>
        </w:rPr>
        <w:t>.</w:t>
      </w:r>
      <w:r w:rsidR="00870F78" w:rsidRPr="00533D7F">
        <w:rPr>
          <w:rStyle w:val="Appelnotedebasdep"/>
          <w:rFonts w:asciiTheme="minorHAnsi" w:hAnsiTheme="minorHAnsi" w:cstheme="minorHAnsi"/>
          <w:color w:val="000000" w:themeColor="text1"/>
          <w:lang w:val="en-US"/>
        </w:rPr>
        <w:footnoteReference w:id="38"/>
      </w:r>
      <w:r w:rsidR="009A618B" w:rsidRPr="00533D7F">
        <w:rPr>
          <w:rFonts w:asciiTheme="minorHAnsi" w:hAnsiTheme="minorHAnsi" w:cstheme="minorHAnsi"/>
          <w:color w:val="000000" w:themeColor="text1"/>
          <w:lang w:val="en-US"/>
        </w:rPr>
        <w:t xml:space="preserve">  </w:t>
      </w:r>
    </w:p>
    <w:p w14:paraId="5DCDFC2F" w14:textId="77777777" w:rsidR="00F475F4" w:rsidRDefault="00F475F4" w:rsidP="009A618B">
      <w:pPr>
        <w:jc w:val="both"/>
        <w:rPr>
          <w:rFonts w:asciiTheme="minorHAnsi" w:hAnsiTheme="minorHAnsi" w:cstheme="minorHAnsi"/>
          <w:color w:val="000000" w:themeColor="text1"/>
          <w:lang w:val="en-US"/>
        </w:rPr>
      </w:pPr>
    </w:p>
    <w:p w14:paraId="1ED93F0C" w14:textId="571987DF" w:rsidR="009A618B" w:rsidRDefault="001F0AC4" w:rsidP="009A618B">
      <w:pPr>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With </w:t>
      </w:r>
      <w:proofErr w:type="spellStart"/>
      <w:r w:rsidRPr="001F0AC4">
        <w:rPr>
          <w:rFonts w:asciiTheme="minorHAnsi" w:hAnsiTheme="minorHAnsi" w:cstheme="minorHAnsi"/>
          <w:i/>
          <w:iCs/>
          <w:color w:val="000000" w:themeColor="text1"/>
          <w:lang w:val="en-US"/>
        </w:rPr>
        <w:t>Soering</w:t>
      </w:r>
      <w:proofErr w:type="spellEnd"/>
      <w:r>
        <w:rPr>
          <w:rFonts w:asciiTheme="minorHAnsi" w:hAnsiTheme="minorHAnsi" w:cstheme="minorHAnsi"/>
          <w:color w:val="000000" w:themeColor="text1"/>
          <w:lang w:val="en-US"/>
        </w:rPr>
        <w:t>, t</w:t>
      </w:r>
      <w:r w:rsidR="00B44D0B" w:rsidRPr="001F0AC4">
        <w:rPr>
          <w:rFonts w:asciiTheme="minorHAnsi" w:hAnsiTheme="minorHAnsi" w:cstheme="minorHAnsi"/>
          <w:color w:val="000000" w:themeColor="text1"/>
          <w:lang w:val="en-US"/>
        </w:rPr>
        <w:t>he</w:t>
      </w:r>
      <w:r w:rsidR="009A618B" w:rsidRPr="00533D7F">
        <w:rPr>
          <w:rFonts w:asciiTheme="minorHAnsi" w:hAnsiTheme="minorHAnsi" w:cstheme="minorHAnsi"/>
          <w:color w:val="000000" w:themeColor="text1"/>
          <w:lang w:val="en-US"/>
        </w:rPr>
        <w:t xml:space="preserve"> Court did</w:t>
      </w:r>
      <w:r w:rsidR="00B44D0B">
        <w:rPr>
          <w:rFonts w:asciiTheme="minorHAnsi" w:hAnsiTheme="minorHAnsi" w:cstheme="minorHAnsi"/>
          <w:color w:val="000000" w:themeColor="text1"/>
          <w:lang w:val="en-US"/>
        </w:rPr>
        <w:t xml:space="preserve"> </w:t>
      </w:r>
      <w:r w:rsidR="009A618B" w:rsidRPr="00533D7F">
        <w:rPr>
          <w:rFonts w:asciiTheme="minorHAnsi" w:hAnsiTheme="minorHAnsi" w:cstheme="minorHAnsi"/>
          <w:color w:val="000000" w:themeColor="text1"/>
          <w:lang w:val="en-US"/>
        </w:rPr>
        <w:t>not</w:t>
      </w:r>
      <w:r>
        <w:rPr>
          <w:rFonts w:asciiTheme="minorHAnsi" w:hAnsiTheme="minorHAnsi" w:cstheme="minorHAnsi"/>
          <w:color w:val="000000" w:themeColor="text1"/>
          <w:lang w:val="en-US"/>
        </w:rPr>
        <w:t xml:space="preserve"> </w:t>
      </w:r>
      <w:r w:rsidR="009A618B" w:rsidRPr="00533D7F">
        <w:rPr>
          <w:rFonts w:asciiTheme="minorHAnsi" w:hAnsiTheme="minorHAnsi" w:cstheme="minorHAnsi"/>
          <w:color w:val="000000" w:themeColor="text1"/>
          <w:lang w:val="en-US"/>
        </w:rPr>
        <w:t xml:space="preserve">impose clear transnational standards as to when fundamental rights can actually come in the way of extradition either. </w:t>
      </w:r>
      <w:r w:rsidR="00B44D0B">
        <w:rPr>
          <w:rFonts w:asciiTheme="minorHAnsi" w:hAnsiTheme="minorHAnsi" w:cstheme="minorHAnsi"/>
          <w:color w:val="000000" w:themeColor="text1"/>
          <w:lang w:val="en-US"/>
        </w:rPr>
        <w:t>A</w:t>
      </w:r>
      <w:r w:rsidR="009A618B" w:rsidRPr="00533D7F">
        <w:rPr>
          <w:rFonts w:asciiTheme="minorHAnsi" w:hAnsiTheme="minorHAnsi" w:cstheme="minorHAnsi"/>
          <w:color w:val="000000" w:themeColor="text1"/>
          <w:lang w:val="en-US"/>
        </w:rPr>
        <w:t xml:space="preserve">lthough it stated that extradition can be hampered if a </w:t>
      </w:r>
      <w:r w:rsidR="00F91303">
        <w:rPr>
          <w:rFonts w:asciiTheme="minorHAnsi" w:hAnsiTheme="minorHAnsi" w:cstheme="minorHAnsi"/>
          <w:color w:val="000000" w:themeColor="text1"/>
          <w:lang w:val="en-US"/>
        </w:rPr>
        <w:t>“</w:t>
      </w:r>
      <w:r w:rsidR="009A618B" w:rsidRPr="00533D7F">
        <w:rPr>
          <w:rFonts w:asciiTheme="minorHAnsi" w:hAnsiTheme="minorHAnsi" w:cstheme="minorHAnsi"/>
          <w:color w:val="000000" w:themeColor="text1"/>
          <w:lang w:val="en-US"/>
        </w:rPr>
        <w:t>flagrant denial of a fair trial</w:t>
      </w:r>
      <w:r w:rsidR="00F91303">
        <w:rPr>
          <w:rFonts w:asciiTheme="minorHAnsi" w:hAnsiTheme="minorHAnsi" w:cstheme="minorHAnsi"/>
          <w:color w:val="000000" w:themeColor="text1"/>
          <w:lang w:val="en-US"/>
        </w:rPr>
        <w:t>”</w:t>
      </w:r>
      <w:r w:rsidR="009A618B" w:rsidRPr="00533D7F">
        <w:rPr>
          <w:rFonts w:asciiTheme="minorHAnsi" w:hAnsiTheme="minorHAnsi" w:cstheme="minorHAnsi"/>
          <w:color w:val="000000" w:themeColor="text1"/>
          <w:lang w:val="en-US"/>
        </w:rPr>
        <w:t xml:space="preserve"> is observed by the requested Contracting </w:t>
      </w:r>
      <w:r w:rsidR="009A618B" w:rsidRPr="00533D7F">
        <w:rPr>
          <w:rFonts w:asciiTheme="minorHAnsi" w:hAnsiTheme="minorHAnsi" w:cstheme="minorHAnsi"/>
          <w:color w:val="000000" w:themeColor="text1"/>
          <w:lang w:val="en-US"/>
        </w:rPr>
        <w:lastRenderedPageBreak/>
        <w:t>Party,</w:t>
      </w:r>
      <w:r w:rsidR="009A618B" w:rsidRPr="00533D7F">
        <w:rPr>
          <w:rFonts w:asciiTheme="minorHAnsi" w:hAnsiTheme="minorHAnsi" w:cstheme="minorHAnsi"/>
          <w:color w:val="000000" w:themeColor="text1"/>
          <w:vertAlign w:val="superscript"/>
          <w:lang w:val="en-US"/>
        </w:rPr>
        <w:footnoteReference w:id="39"/>
      </w:r>
      <w:r w:rsidR="009A618B" w:rsidRPr="00533D7F">
        <w:rPr>
          <w:rFonts w:asciiTheme="minorHAnsi" w:hAnsiTheme="minorHAnsi" w:cstheme="minorHAnsi"/>
          <w:color w:val="000000" w:themeColor="text1"/>
          <w:lang w:val="en-US"/>
        </w:rPr>
        <w:t xml:space="preserve"> </w:t>
      </w:r>
      <w:r w:rsidR="00B44D0B">
        <w:rPr>
          <w:rFonts w:asciiTheme="minorHAnsi" w:hAnsiTheme="minorHAnsi" w:cstheme="minorHAnsi"/>
          <w:color w:val="000000" w:themeColor="text1"/>
          <w:lang w:val="en-US"/>
        </w:rPr>
        <w:t>it gave</w:t>
      </w:r>
      <w:r w:rsidR="009A618B" w:rsidRPr="00533D7F">
        <w:rPr>
          <w:rFonts w:asciiTheme="minorHAnsi" w:hAnsiTheme="minorHAnsi" w:cstheme="minorHAnsi"/>
          <w:color w:val="000000" w:themeColor="text1"/>
          <w:lang w:val="en-US"/>
        </w:rPr>
        <w:t xml:space="preserve"> no indication as to what constitutes a flagrant denial of respect of fundamental rights. Furthermore, the Court only mention</w:t>
      </w:r>
      <w:r w:rsidR="00407019">
        <w:rPr>
          <w:rFonts w:asciiTheme="minorHAnsi" w:hAnsiTheme="minorHAnsi" w:cstheme="minorHAnsi"/>
          <w:color w:val="000000" w:themeColor="text1"/>
          <w:lang w:val="en-US"/>
        </w:rPr>
        <w:t>ed</w:t>
      </w:r>
      <w:r w:rsidR="009A618B" w:rsidRPr="00533D7F">
        <w:rPr>
          <w:rFonts w:asciiTheme="minorHAnsi" w:hAnsiTheme="minorHAnsi" w:cstheme="minorHAnsi"/>
          <w:color w:val="000000" w:themeColor="text1"/>
          <w:lang w:val="en-US"/>
        </w:rPr>
        <w:t xml:space="preserve"> </w:t>
      </w:r>
      <w:r w:rsidR="001F5DF3">
        <w:rPr>
          <w:rFonts w:asciiTheme="minorHAnsi" w:hAnsiTheme="minorHAnsi" w:cstheme="minorHAnsi"/>
          <w:color w:val="000000" w:themeColor="text1"/>
          <w:lang w:val="en-US"/>
        </w:rPr>
        <w:t>A</w:t>
      </w:r>
      <w:r w:rsidR="009A618B" w:rsidRPr="00533D7F">
        <w:rPr>
          <w:rFonts w:asciiTheme="minorHAnsi" w:hAnsiTheme="minorHAnsi" w:cstheme="minorHAnsi"/>
          <w:color w:val="000000" w:themeColor="text1"/>
          <w:lang w:val="en-US"/>
        </w:rPr>
        <w:t>rticles 3 and 6</w:t>
      </w:r>
      <w:r w:rsidR="009723B3">
        <w:rPr>
          <w:rFonts w:asciiTheme="minorHAnsi" w:hAnsiTheme="minorHAnsi" w:cstheme="minorHAnsi"/>
          <w:color w:val="000000" w:themeColor="text1"/>
          <w:lang w:val="en-US"/>
        </w:rPr>
        <w:t xml:space="preserve"> of the Convention</w:t>
      </w:r>
      <w:r w:rsidR="009A618B" w:rsidRPr="00533D7F">
        <w:rPr>
          <w:rFonts w:asciiTheme="minorHAnsi" w:hAnsiTheme="minorHAnsi" w:cstheme="minorHAnsi"/>
          <w:color w:val="000000" w:themeColor="text1"/>
          <w:lang w:val="en-US"/>
        </w:rPr>
        <w:t xml:space="preserve"> in that respect, </w:t>
      </w:r>
      <w:r w:rsidR="006968F7">
        <w:rPr>
          <w:rFonts w:asciiTheme="minorHAnsi" w:hAnsiTheme="minorHAnsi" w:cstheme="minorHAnsi"/>
          <w:color w:val="000000" w:themeColor="text1"/>
          <w:lang w:val="en-US"/>
        </w:rPr>
        <w:t xml:space="preserve">which </w:t>
      </w:r>
      <w:r w:rsidR="006968F7" w:rsidRPr="00533D7F">
        <w:rPr>
          <w:rFonts w:asciiTheme="minorHAnsi" w:hAnsiTheme="minorHAnsi" w:cstheme="minorHAnsi"/>
          <w:color w:val="000000" w:themeColor="text1"/>
          <w:lang w:val="en-US"/>
        </w:rPr>
        <w:t>raises questions over potential denials of other rights</w:t>
      </w:r>
      <w:r w:rsidR="006968F7" w:rsidRPr="00533D7F" w:rsidDel="006968F7">
        <w:rPr>
          <w:rFonts w:asciiTheme="minorHAnsi" w:hAnsiTheme="minorHAnsi" w:cstheme="minorHAnsi"/>
          <w:color w:val="000000" w:themeColor="text1"/>
          <w:lang w:val="en-US"/>
        </w:rPr>
        <w:t xml:space="preserve"> </w:t>
      </w:r>
      <w:r w:rsidR="006968F7">
        <w:rPr>
          <w:rFonts w:asciiTheme="minorHAnsi" w:hAnsiTheme="minorHAnsi" w:cstheme="minorHAnsi"/>
          <w:color w:val="000000" w:themeColor="text1"/>
          <w:lang w:val="en-US"/>
        </w:rPr>
        <w:t>in</w:t>
      </w:r>
      <w:r w:rsidR="00224DB3">
        <w:rPr>
          <w:rFonts w:asciiTheme="minorHAnsi" w:hAnsiTheme="minorHAnsi" w:cstheme="minorHAnsi"/>
          <w:color w:val="000000" w:themeColor="text1"/>
          <w:lang w:val="en-US"/>
        </w:rPr>
        <w:t xml:space="preserve"> the course of</w:t>
      </w:r>
      <w:r w:rsidR="006968F7">
        <w:rPr>
          <w:rFonts w:asciiTheme="minorHAnsi" w:hAnsiTheme="minorHAnsi" w:cstheme="minorHAnsi"/>
          <w:color w:val="000000" w:themeColor="text1"/>
          <w:lang w:val="en-US"/>
        </w:rPr>
        <w:t xml:space="preserve"> extradition proceedings</w:t>
      </w:r>
      <w:r w:rsidR="009A618B" w:rsidRPr="00533D7F">
        <w:rPr>
          <w:rFonts w:asciiTheme="minorHAnsi" w:hAnsiTheme="minorHAnsi" w:cstheme="minorHAnsi"/>
          <w:color w:val="000000" w:themeColor="text1"/>
          <w:lang w:val="en-US"/>
        </w:rPr>
        <w:t xml:space="preserve">. The threshold established by the Court in this judgement for fundamental rights to impede extraditions thus remains very high and unclear overall, despite its groundbreaking </w:t>
      </w:r>
      <w:r w:rsidR="00004418">
        <w:rPr>
          <w:rFonts w:asciiTheme="minorHAnsi" w:hAnsiTheme="minorHAnsi" w:cstheme="minorHAnsi"/>
          <w:color w:val="000000" w:themeColor="text1"/>
          <w:lang w:val="en-US"/>
        </w:rPr>
        <w:t>character</w:t>
      </w:r>
      <w:r w:rsidR="009A618B" w:rsidRPr="00533D7F">
        <w:rPr>
          <w:rFonts w:asciiTheme="minorHAnsi" w:hAnsiTheme="minorHAnsi" w:cstheme="minorHAnsi"/>
          <w:color w:val="000000" w:themeColor="text1"/>
          <w:lang w:val="en-US"/>
        </w:rPr>
        <w:t>.</w:t>
      </w:r>
      <w:r w:rsidR="00F77896">
        <w:rPr>
          <w:rStyle w:val="Appelnotedebasdep"/>
          <w:rFonts w:asciiTheme="minorHAnsi" w:hAnsiTheme="minorHAnsi" w:cstheme="minorHAnsi"/>
          <w:color w:val="000000" w:themeColor="text1"/>
          <w:lang w:val="en-US"/>
        </w:rPr>
        <w:footnoteReference w:id="40"/>
      </w:r>
    </w:p>
    <w:p w14:paraId="06EF0E2A" w14:textId="77777777" w:rsidR="00F475F4" w:rsidRPr="00533D7F" w:rsidRDefault="00F475F4" w:rsidP="009A618B">
      <w:pPr>
        <w:jc w:val="both"/>
        <w:rPr>
          <w:rFonts w:asciiTheme="minorHAnsi" w:hAnsiTheme="minorHAnsi" w:cstheme="minorHAnsi"/>
          <w:color w:val="000000" w:themeColor="text1"/>
          <w:lang w:val="en-US"/>
        </w:rPr>
      </w:pPr>
    </w:p>
    <w:p w14:paraId="3A6F1A6D" w14:textId="2B8BDDEC" w:rsidR="0044045F" w:rsidRDefault="00B301E8" w:rsidP="00180762">
      <w:pPr>
        <w:jc w:val="both"/>
        <w:rPr>
          <w:rFonts w:asciiTheme="minorHAnsi" w:hAnsiTheme="minorHAnsi" w:cstheme="minorHAnsi"/>
          <w:lang w:val="en-US"/>
        </w:rPr>
      </w:pPr>
      <w:r w:rsidRPr="00533D7F">
        <w:rPr>
          <w:rFonts w:asciiTheme="minorHAnsi" w:hAnsiTheme="minorHAnsi" w:cstheme="minorHAnsi"/>
          <w:lang w:val="en-US"/>
        </w:rPr>
        <w:t xml:space="preserve">The </w:t>
      </w:r>
      <w:r w:rsidR="0036540B">
        <w:rPr>
          <w:rFonts w:asciiTheme="minorHAnsi" w:hAnsiTheme="minorHAnsi" w:cstheme="minorHAnsi"/>
          <w:lang w:val="en-US"/>
        </w:rPr>
        <w:t>unprecedented</w:t>
      </w:r>
      <w:r w:rsidR="0057407D" w:rsidRPr="00533D7F">
        <w:rPr>
          <w:rFonts w:asciiTheme="minorHAnsi" w:hAnsiTheme="minorHAnsi" w:cstheme="minorHAnsi"/>
          <w:lang w:val="en-US"/>
        </w:rPr>
        <w:t xml:space="preserve"> </w:t>
      </w:r>
      <w:r w:rsidRPr="00533D7F">
        <w:rPr>
          <w:rFonts w:asciiTheme="minorHAnsi" w:hAnsiTheme="minorHAnsi" w:cstheme="minorHAnsi"/>
          <w:lang w:val="en-US"/>
        </w:rPr>
        <w:t xml:space="preserve">nature of this ruling also derives, </w:t>
      </w:r>
      <w:r w:rsidR="001250A0" w:rsidRPr="00533D7F">
        <w:rPr>
          <w:rFonts w:asciiTheme="minorHAnsi" w:hAnsiTheme="minorHAnsi" w:cstheme="minorHAnsi"/>
          <w:lang w:val="en-US"/>
        </w:rPr>
        <w:t>and this should not be overlooked</w:t>
      </w:r>
      <w:r w:rsidRPr="00533D7F">
        <w:rPr>
          <w:rFonts w:asciiTheme="minorHAnsi" w:hAnsiTheme="minorHAnsi" w:cstheme="minorHAnsi"/>
          <w:lang w:val="en-US"/>
        </w:rPr>
        <w:t xml:space="preserve">, from its </w:t>
      </w:r>
      <w:r w:rsidRPr="00533D7F">
        <w:rPr>
          <w:rFonts w:asciiTheme="minorHAnsi" w:hAnsiTheme="minorHAnsi" w:cstheme="minorHAnsi"/>
          <w:i/>
          <w:iCs/>
          <w:lang w:val="en-US"/>
        </w:rPr>
        <w:t>exceptionality</w:t>
      </w:r>
      <w:r w:rsidRPr="00533D7F">
        <w:rPr>
          <w:rFonts w:asciiTheme="minorHAnsi" w:hAnsiTheme="minorHAnsi" w:cstheme="minorHAnsi"/>
          <w:lang w:val="en-US"/>
        </w:rPr>
        <w:t>, in the sense that</w:t>
      </w:r>
      <w:r w:rsidR="002C1200" w:rsidRPr="00533D7F">
        <w:rPr>
          <w:rFonts w:asciiTheme="minorHAnsi" w:hAnsiTheme="minorHAnsi" w:cstheme="minorHAnsi"/>
          <w:lang w:val="en-US"/>
        </w:rPr>
        <w:t xml:space="preserve"> it is </w:t>
      </w:r>
      <w:r w:rsidR="00A92C3D">
        <w:rPr>
          <w:rFonts w:asciiTheme="minorHAnsi" w:hAnsiTheme="minorHAnsi" w:cstheme="minorHAnsi"/>
          <w:lang w:val="en-US"/>
        </w:rPr>
        <w:t>un</w:t>
      </w:r>
      <w:r w:rsidR="002C1200" w:rsidRPr="00533D7F">
        <w:rPr>
          <w:rFonts w:asciiTheme="minorHAnsi" w:hAnsiTheme="minorHAnsi" w:cstheme="minorHAnsi"/>
          <w:lang w:val="en-US"/>
        </w:rPr>
        <w:t>usual</w:t>
      </w:r>
      <w:r w:rsidR="00E338B6">
        <w:rPr>
          <w:rFonts w:asciiTheme="minorHAnsi" w:hAnsiTheme="minorHAnsi" w:cstheme="minorHAnsi"/>
          <w:lang w:val="en-US"/>
        </w:rPr>
        <w:t xml:space="preserve"> </w:t>
      </w:r>
      <w:r w:rsidR="002C1200" w:rsidRPr="00533D7F">
        <w:rPr>
          <w:rFonts w:asciiTheme="minorHAnsi" w:hAnsiTheme="minorHAnsi" w:cstheme="minorHAnsi"/>
          <w:lang w:val="en-US"/>
        </w:rPr>
        <w:t>for the Court to adopt such a position.</w:t>
      </w:r>
      <w:r w:rsidR="00180762" w:rsidRPr="00533D7F">
        <w:rPr>
          <w:rFonts w:asciiTheme="minorHAnsi" w:hAnsiTheme="minorHAnsi" w:cstheme="minorHAnsi"/>
          <w:lang w:val="en-US"/>
        </w:rPr>
        <w:t xml:space="preserve"> </w:t>
      </w:r>
      <w:r w:rsidR="00C9525A" w:rsidRPr="00533D7F">
        <w:rPr>
          <w:rFonts w:asciiTheme="minorHAnsi" w:hAnsiTheme="minorHAnsi" w:cstheme="minorHAnsi"/>
          <w:lang w:val="en-US"/>
        </w:rPr>
        <w:t>There is, more often than not, a bargain between the ideal application of the Convention and the pragmatic situations faced by the Contracting Parties in their application of the Convention, leading the Court to</w:t>
      </w:r>
      <w:r w:rsidR="00180762" w:rsidRPr="00533D7F">
        <w:rPr>
          <w:rFonts w:asciiTheme="minorHAnsi" w:hAnsiTheme="minorHAnsi" w:cstheme="minorHAnsi"/>
          <w:lang w:val="en-US"/>
        </w:rPr>
        <w:t xml:space="preserve"> </w:t>
      </w:r>
      <w:r w:rsidR="00C9525A" w:rsidRPr="00533D7F">
        <w:rPr>
          <w:rFonts w:asciiTheme="minorHAnsi" w:hAnsiTheme="minorHAnsi" w:cstheme="minorHAnsi"/>
          <w:lang w:val="en-US"/>
        </w:rPr>
        <w:t>position itself</w:t>
      </w:r>
      <w:r w:rsidR="0048596D" w:rsidRPr="00533D7F">
        <w:rPr>
          <w:rFonts w:asciiTheme="minorHAnsi" w:hAnsiTheme="minorHAnsi" w:cstheme="minorHAnsi"/>
          <w:lang w:val="en-US"/>
        </w:rPr>
        <w:t xml:space="preserve"> somewhere</w:t>
      </w:r>
      <w:r w:rsidR="00C9525A" w:rsidRPr="00533D7F">
        <w:rPr>
          <w:rFonts w:asciiTheme="minorHAnsi" w:hAnsiTheme="minorHAnsi" w:cstheme="minorHAnsi"/>
          <w:lang w:val="en-US"/>
        </w:rPr>
        <w:t xml:space="preserve"> in between</w:t>
      </w:r>
      <w:r w:rsidR="00180762" w:rsidRPr="00533D7F">
        <w:rPr>
          <w:rFonts w:asciiTheme="minorHAnsi" w:hAnsiTheme="minorHAnsi" w:cstheme="minorHAnsi"/>
          <w:lang w:val="en-US"/>
        </w:rPr>
        <w:t>,</w:t>
      </w:r>
      <w:r w:rsidR="00960838" w:rsidRPr="00533D7F">
        <w:rPr>
          <w:rFonts w:asciiTheme="minorHAnsi" w:hAnsiTheme="minorHAnsi" w:cstheme="minorHAnsi"/>
          <w:lang w:val="en-US"/>
        </w:rPr>
        <w:t xml:space="preserve"> usually</w:t>
      </w:r>
      <w:r w:rsidR="00180762" w:rsidRPr="00533D7F">
        <w:rPr>
          <w:rFonts w:asciiTheme="minorHAnsi" w:hAnsiTheme="minorHAnsi" w:cstheme="minorHAnsi"/>
          <w:lang w:val="en-US"/>
        </w:rPr>
        <w:t xml:space="preserve"> drawing a line that should not be passed</w:t>
      </w:r>
      <w:r w:rsidR="001F5DF3">
        <w:rPr>
          <w:rFonts w:asciiTheme="minorHAnsi" w:hAnsiTheme="minorHAnsi" w:cstheme="minorHAnsi"/>
          <w:lang w:val="en-US"/>
        </w:rPr>
        <w:t>,</w:t>
      </w:r>
      <w:r w:rsidR="00180762" w:rsidRPr="00533D7F">
        <w:rPr>
          <w:rFonts w:asciiTheme="minorHAnsi" w:hAnsiTheme="minorHAnsi" w:cstheme="minorHAnsi"/>
          <w:lang w:val="en-US"/>
        </w:rPr>
        <w:t xml:space="preserve"> but also refraining from hampering cooperation altogether.</w:t>
      </w:r>
      <w:r w:rsidR="00AD74A8">
        <w:rPr>
          <w:rFonts w:asciiTheme="minorHAnsi" w:hAnsiTheme="minorHAnsi" w:cstheme="minorHAnsi"/>
          <w:lang w:val="en-US"/>
        </w:rPr>
        <w:t xml:space="preserve"> </w:t>
      </w:r>
    </w:p>
    <w:p w14:paraId="4946F6C2" w14:textId="0BA246C3" w:rsidR="00285799" w:rsidRPr="00533D7F" w:rsidRDefault="0019692D" w:rsidP="00180762">
      <w:pPr>
        <w:jc w:val="both"/>
        <w:rPr>
          <w:rFonts w:asciiTheme="minorHAnsi" w:hAnsiTheme="minorHAnsi" w:cstheme="minorHAnsi"/>
          <w:lang w:val="en-US"/>
        </w:rPr>
      </w:pPr>
      <w:r>
        <w:rPr>
          <w:rFonts w:asciiTheme="minorHAnsi" w:hAnsiTheme="minorHAnsi" w:cstheme="minorHAnsi"/>
          <w:lang w:val="en-US"/>
        </w:rPr>
        <w:t>And yet, i</w:t>
      </w:r>
      <w:r w:rsidR="00E03D50" w:rsidRPr="00533D7F">
        <w:rPr>
          <w:rFonts w:asciiTheme="minorHAnsi" w:hAnsiTheme="minorHAnsi" w:cstheme="minorHAnsi"/>
          <w:lang w:val="en-US"/>
        </w:rPr>
        <w:t xml:space="preserve">n the </w:t>
      </w:r>
      <w:r w:rsidR="003F756F" w:rsidRPr="00533D7F">
        <w:rPr>
          <w:rFonts w:asciiTheme="minorHAnsi" w:hAnsiTheme="minorHAnsi" w:cstheme="minorHAnsi"/>
          <w:lang w:val="en-US"/>
        </w:rPr>
        <w:t xml:space="preserve">2019 </w:t>
      </w:r>
      <w:proofErr w:type="spellStart"/>
      <w:r w:rsidR="00083404" w:rsidRPr="00533D7F">
        <w:rPr>
          <w:rFonts w:asciiTheme="minorHAnsi" w:hAnsiTheme="minorHAnsi" w:cstheme="minorHAnsi"/>
          <w:i/>
          <w:iCs/>
          <w:lang w:val="en-US"/>
        </w:rPr>
        <w:t>Güzelyurtlu</w:t>
      </w:r>
      <w:proofErr w:type="spellEnd"/>
      <w:r w:rsidR="00E03D50" w:rsidRPr="00533D7F">
        <w:rPr>
          <w:rFonts w:asciiTheme="minorHAnsi" w:hAnsiTheme="minorHAnsi" w:cstheme="minorHAnsi"/>
          <w:i/>
          <w:iCs/>
          <w:lang w:val="en-US"/>
        </w:rPr>
        <w:t xml:space="preserve"> and </w:t>
      </w:r>
      <w:proofErr w:type="spellStart"/>
      <w:r w:rsidR="009A0A15" w:rsidRPr="00533D7F">
        <w:rPr>
          <w:rFonts w:asciiTheme="minorHAnsi" w:hAnsiTheme="minorHAnsi" w:cstheme="minorHAnsi"/>
          <w:i/>
          <w:iCs/>
          <w:lang w:val="en-US"/>
        </w:rPr>
        <w:t>Castaño</w:t>
      </w:r>
      <w:proofErr w:type="spellEnd"/>
      <w:r w:rsidR="00E03D50" w:rsidRPr="00533D7F">
        <w:rPr>
          <w:rFonts w:asciiTheme="minorHAnsi" w:hAnsiTheme="minorHAnsi" w:cstheme="minorHAnsi"/>
          <w:lang w:val="en-US"/>
        </w:rPr>
        <w:t xml:space="preserve"> </w:t>
      </w:r>
      <w:r w:rsidR="003F756F" w:rsidRPr="00533D7F">
        <w:rPr>
          <w:rFonts w:asciiTheme="minorHAnsi" w:hAnsiTheme="minorHAnsi" w:cstheme="minorHAnsi"/>
          <w:lang w:val="en-US"/>
        </w:rPr>
        <w:t>judgments</w:t>
      </w:r>
      <w:r w:rsidR="00E03D50" w:rsidRPr="00533D7F">
        <w:rPr>
          <w:rFonts w:asciiTheme="minorHAnsi" w:hAnsiTheme="minorHAnsi" w:cstheme="minorHAnsi"/>
          <w:lang w:val="en-US"/>
        </w:rPr>
        <w:t xml:space="preserve">, </w:t>
      </w:r>
      <w:r w:rsidR="00BF0BAB" w:rsidRPr="00533D7F">
        <w:rPr>
          <w:rFonts w:asciiTheme="minorHAnsi" w:hAnsiTheme="minorHAnsi" w:cstheme="minorHAnsi"/>
          <w:lang w:val="en-US"/>
        </w:rPr>
        <w:t>the Court</w:t>
      </w:r>
      <w:r w:rsidR="00BD1A90">
        <w:rPr>
          <w:rFonts w:asciiTheme="minorHAnsi" w:hAnsiTheme="minorHAnsi" w:cstheme="minorHAnsi"/>
          <w:lang w:val="en-US"/>
        </w:rPr>
        <w:t xml:space="preserve"> actually</w:t>
      </w:r>
      <w:r w:rsidR="00BF0BAB" w:rsidRPr="00533D7F">
        <w:rPr>
          <w:rFonts w:asciiTheme="minorHAnsi" w:hAnsiTheme="minorHAnsi" w:cstheme="minorHAnsi"/>
          <w:lang w:val="en-US"/>
        </w:rPr>
        <w:t xml:space="preserve"> </w:t>
      </w:r>
      <w:r w:rsidR="00180762" w:rsidRPr="00533D7F">
        <w:rPr>
          <w:rFonts w:asciiTheme="minorHAnsi" w:hAnsiTheme="minorHAnsi" w:cstheme="minorHAnsi"/>
          <w:lang w:val="en-US"/>
        </w:rPr>
        <w:t xml:space="preserve">used the human rights argument to </w:t>
      </w:r>
      <w:r w:rsidR="00180762" w:rsidRPr="0044045F">
        <w:rPr>
          <w:rFonts w:asciiTheme="minorHAnsi" w:hAnsiTheme="minorHAnsi" w:cstheme="minorHAnsi"/>
          <w:i/>
          <w:iCs/>
          <w:lang w:val="en-US"/>
        </w:rPr>
        <w:t>create</w:t>
      </w:r>
      <w:r w:rsidR="00180762" w:rsidRPr="00533D7F">
        <w:rPr>
          <w:rFonts w:asciiTheme="minorHAnsi" w:hAnsiTheme="minorHAnsi" w:cstheme="minorHAnsi"/>
          <w:lang w:val="en-US"/>
        </w:rPr>
        <w:t xml:space="preserve"> an obligation to cooperate</w:t>
      </w:r>
      <w:r w:rsidR="00A26C2A" w:rsidRPr="00533D7F">
        <w:rPr>
          <w:rFonts w:asciiTheme="minorHAnsi" w:hAnsiTheme="minorHAnsi" w:cstheme="minorHAnsi"/>
          <w:lang w:val="en-US"/>
        </w:rPr>
        <w:t xml:space="preserve">, </w:t>
      </w:r>
      <w:r w:rsidR="002C1200" w:rsidRPr="00533D7F">
        <w:rPr>
          <w:rFonts w:asciiTheme="minorHAnsi" w:hAnsiTheme="minorHAnsi" w:cstheme="minorHAnsi"/>
          <w:lang w:val="en-US"/>
        </w:rPr>
        <w:t xml:space="preserve">thus </w:t>
      </w:r>
      <w:r w:rsidR="00DD1E6F">
        <w:rPr>
          <w:rFonts w:asciiTheme="minorHAnsi" w:hAnsiTheme="minorHAnsi" w:cstheme="minorHAnsi"/>
          <w:lang w:val="en-US"/>
        </w:rPr>
        <w:t xml:space="preserve">envisaging </w:t>
      </w:r>
      <w:r w:rsidRPr="0019692D">
        <w:rPr>
          <w:rFonts w:asciiTheme="minorHAnsi" w:hAnsiTheme="minorHAnsi" w:cstheme="minorHAnsi"/>
          <w:lang w:val="en-US"/>
        </w:rPr>
        <w:t>a different relation between fundamental rights and cooperation than the one</w:t>
      </w:r>
      <w:r w:rsidR="00A26C2A" w:rsidRPr="0019692D">
        <w:rPr>
          <w:rFonts w:asciiTheme="minorHAnsi" w:hAnsiTheme="minorHAnsi" w:cstheme="minorHAnsi"/>
          <w:lang w:val="en-US"/>
        </w:rPr>
        <w:t xml:space="preserve"> </w:t>
      </w:r>
      <w:r w:rsidRPr="0019692D">
        <w:rPr>
          <w:rFonts w:asciiTheme="minorHAnsi" w:hAnsiTheme="minorHAnsi" w:cstheme="minorHAnsi"/>
          <w:lang w:val="en-US"/>
        </w:rPr>
        <w:t xml:space="preserve">which had guided the judges </w:t>
      </w:r>
      <w:r>
        <w:rPr>
          <w:rFonts w:asciiTheme="minorHAnsi" w:hAnsiTheme="minorHAnsi" w:cstheme="minorHAnsi"/>
          <w:lang w:val="en-US"/>
        </w:rPr>
        <w:t xml:space="preserve">when delivering the </w:t>
      </w:r>
      <w:proofErr w:type="spellStart"/>
      <w:r w:rsidR="00A26C2A" w:rsidRPr="00533D7F">
        <w:rPr>
          <w:rFonts w:asciiTheme="minorHAnsi" w:hAnsiTheme="minorHAnsi" w:cstheme="minorHAnsi"/>
          <w:lang w:val="en-US"/>
        </w:rPr>
        <w:t>S</w:t>
      </w:r>
      <w:r w:rsidR="00A26C2A" w:rsidRPr="00533D7F">
        <w:rPr>
          <w:rFonts w:asciiTheme="minorHAnsi" w:hAnsiTheme="minorHAnsi" w:cstheme="minorHAnsi"/>
          <w:i/>
          <w:iCs/>
          <w:lang w:val="en-US"/>
        </w:rPr>
        <w:t>oering</w:t>
      </w:r>
      <w:proofErr w:type="spellEnd"/>
      <w:r>
        <w:rPr>
          <w:rFonts w:asciiTheme="minorHAnsi" w:hAnsiTheme="minorHAnsi" w:cstheme="minorHAnsi"/>
          <w:i/>
          <w:iCs/>
          <w:lang w:val="en-US"/>
        </w:rPr>
        <w:t xml:space="preserve"> </w:t>
      </w:r>
      <w:r>
        <w:rPr>
          <w:rFonts w:asciiTheme="minorHAnsi" w:hAnsiTheme="minorHAnsi" w:cstheme="minorHAnsi"/>
          <w:lang w:val="en-US"/>
        </w:rPr>
        <w:t>judgement</w:t>
      </w:r>
      <w:r w:rsidR="00A26C2A" w:rsidRPr="00533D7F">
        <w:rPr>
          <w:rFonts w:asciiTheme="minorHAnsi" w:hAnsiTheme="minorHAnsi" w:cstheme="minorHAnsi"/>
          <w:lang w:val="en-US"/>
        </w:rPr>
        <w:t>.</w:t>
      </w:r>
    </w:p>
    <w:p w14:paraId="60479F06" w14:textId="36ACA4F6" w:rsidR="004A5690" w:rsidRPr="00533D7F" w:rsidRDefault="004A5690" w:rsidP="00180762">
      <w:pPr>
        <w:jc w:val="both"/>
        <w:rPr>
          <w:rFonts w:asciiTheme="minorHAnsi" w:hAnsiTheme="minorHAnsi" w:cstheme="minorHAnsi"/>
          <w:lang w:val="en-US"/>
        </w:rPr>
      </w:pPr>
    </w:p>
    <w:p w14:paraId="18414DE8" w14:textId="662BF64A" w:rsidR="004A5690" w:rsidRPr="00533D7F" w:rsidRDefault="000B3D08" w:rsidP="004A5690">
      <w:pPr>
        <w:pStyle w:val="Titre2"/>
        <w:numPr>
          <w:ilvl w:val="0"/>
          <w:numId w:val="1"/>
        </w:numPr>
        <w:rPr>
          <w:rFonts w:asciiTheme="minorHAnsi" w:hAnsiTheme="minorHAnsi" w:cstheme="minorHAnsi"/>
          <w:lang w:val="en-US"/>
        </w:rPr>
      </w:pPr>
      <w:r w:rsidRPr="00533D7F">
        <w:rPr>
          <w:rFonts w:asciiTheme="minorHAnsi" w:hAnsiTheme="minorHAnsi" w:cstheme="minorHAnsi"/>
          <w:lang w:val="en-US"/>
        </w:rPr>
        <w:t xml:space="preserve"> </w:t>
      </w:r>
      <w:r w:rsidR="004117EB" w:rsidRPr="00533D7F">
        <w:rPr>
          <w:rFonts w:asciiTheme="minorHAnsi" w:hAnsiTheme="minorHAnsi" w:cstheme="minorHAnsi"/>
          <w:lang w:val="en-US"/>
        </w:rPr>
        <w:t>Using</w:t>
      </w:r>
      <w:r w:rsidRPr="00533D7F">
        <w:rPr>
          <w:rFonts w:asciiTheme="minorHAnsi" w:hAnsiTheme="minorHAnsi" w:cstheme="minorHAnsi"/>
          <w:lang w:val="en-US"/>
        </w:rPr>
        <w:t xml:space="preserve"> human rights </w:t>
      </w:r>
      <w:r w:rsidR="004117EB" w:rsidRPr="00533D7F">
        <w:rPr>
          <w:rFonts w:asciiTheme="minorHAnsi" w:hAnsiTheme="minorHAnsi" w:cstheme="minorHAnsi"/>
          <w:lang w:val="en-US"/>
        </w:rPr>
        <w:t>to create</w:t>
      </w:r>
      <w:r w:rsidR="000228AD" w:rsidRPr="00533D7F">
        <w:rPr>
          <w:rFonts w:asciiTheme="minorHAnsi" w:hAnsiTheme="minorHAnsi" w:cstheme="minorHAnsi"/>
          <w:lang w:val="en-US"/>
        </w:rPr>
        <w:t xml:space="preserve"> an </w:t>
      </w:r>
      <w:r w:rsidRPr="00533D7F">
        <w:rPr>
          <w:rFonts w:asciiTheme="minorHAnsi" w:hAnsiTheme="minorHAnsi" w:cstheme="minorHAnsi"/>
          <w:lang w:val="en-US"/>
        </w:rPr>
        <w:t>obligation to extrad</w:t>
      </w:r>
      <w:r w:rsidR="000228AD" w:rsidRPr="00533D7F">
        <w:rPr>
          <w:rFonts w:asciiTheme="minorHAnsi" w:hAnsiTheme="minorHAnsi" w:cstheme="minorHAnsi"/>
          <w:lang w:val="en-US"/>
        </w:rPr>
        <w:t>ite</w:t>
      </w:r>
      <w:r w:rsidR="00721DE8" w:rsidRPr="00533D7F">
        <w:rPr>
          <w:rFonts w:asciiTheme="minorHAnsi" w:hAnsiTheme="minorHAnsi" w:cstheme="minorHAnsi"/>
          <w:lang w:val="en-US"/>
        </w:rPr>
        <w:t xml:space="preserve"> (</w:t>
      </w:r>
      <w:proofErr w:type="spellStart"/>
      <w:r w:rsidR="00721DE8" w:rsidRPr="00533D7F">
        <w:rPr>
          <w:rFonts w:asciiTheme="minorHAnsi" w:hAnsiTheme="minorHAnsi" w:cstheme="minorHAnsi"/>
          <w:i/>
          <w:iCs/>
          <w:lang w:val="en-US"/>
        </w:rPr>
        <w:t>Güzelyurtlu</w:t>
      </w:r>
      <w:proofErr w:type="spellEnd"/>
      <w:r w:rsidR="00721DE8" w:rsidRPr="00533D7F">
        <w:rPr>
          <w:rFonts w:asciiTheme="minorHAnsi" w:hAnsiTheme="minorHAnsi" w:cstheme="minorHAnsi"/>
          <w:lang w:val="en-US"/>
        </w:rPr>
        <w:t xml:space="preserve"> and </w:t>
      </w:r>
      <w:proofErr w:type="spellStart"/>
      <w:r w:rsidR="00721DE8" w:rsidRPr="00533D7F">
        <w:rPr>
          <w:rFonts w:asciiTheme="minorHAnsi" w:hAnsiTheme="minorHAnsi" w:cstheme="minorHAnsi"/>
          <w:i/>
          <w:iCs/>
          <w:lang w:val="en-US"/>
        </w:rPr>
        <w:t>Castaño</w:t>
      </w:r>
      <w:proofErr w:type="spellEnd"/>
      <w:r w:rsidR="00721DE8" w:rsidRPr="00533D7F">
        <w:rPr>
          <w:rFonts w:asciiTheme="minorHAnsi" w:hAnsiTheme="minorHAnsi" w:cstheme="minorHAnsi"/>
          <w:lang w:val="en-US"/>
        </w:rPr>
        <w:t>)</w:t>
      </w:r>
    </w:p>
    <w:p w14:paraId="5633AEF9" w14:textId="17CC70DC" w:rsidR="000B3D08" w:rsidRPr="00533D7F" w:rsidRDefault="000B3D08" w:rsidP="000B3D08">
      <w:pPr>
        <w:rPr>
          <w:rFonts w:asciiTheme="minorHAnsi" w:hAnsiTheme="minorHAnsi" w:cstheme="minorHAnsi"/>
          <w:lang w:val="en-US"/>
        </w:rPr>
      </w:pPr>
    </w:p>
    <w:p w14:paraId="191258B4" w14:textId="3F56A30E" w:rsidR="000B3D08" w:rsidRPr="00533D7F" w:rsidRDefault="000B3D08" w:rsidP="000B3D08">
      <w:pPr>
        <w:pStyle w:val="Titre3"/>
        <w:numPr>
          <w:ilvl w:val="1"/>
          <w:numId w:val="1"/>
        </w:numPr>
        <w:rPr>
          <w:rFonts w:asciiTheme="minorHAnsi" w:hAnsiTheme="minorHAnsi" w:cstheme="minorHAnsi"/>
          <w:lang w:val="en-US"/>
        </w:rPr>
      </w:pPr>
      <w:proofErr w:type="spellStart"/>
      <w:r w:rsidRPr="00533D7F">
        <w:rPr>
          <w:rFonts w:asciiTheme="minorHAnsi" w:hAnsiTheme="minorHAnsi" w:cstheme="minorHAnsi"/>
          <w:lang w:val="en-US"/>
        </w:rPr>
        <w:t>G</w:t>
      </w:r>
      <w:r w:rsidR="00083404" w:rsidRPr="00533D7F">
        <w:rPr>
          <w:rFonts w:asciiTheme="minorHAnsi" w:hAnsiTheme="minorHAnsi" w:cstheme="minorHAnsi"/>
          <w:lang w:val="en-US"/>
        </w:rPr>
        <w:t>ü</w:t>
      </w:r>
      <w:r w:rsidRPr="00533D7F">
        <w:rPr>
          <w:rFonts w:asciiTheme="minorHAnsi" w:hAnsiTheme="minorHAnsi" w:cstheme="minorHAnsi"/>
          <w:lang w:val="en-US"/>
        </w:rPr>
        <w:t>zelyurtlu</w:t>
      </w:r>
      <w:proofErr w:type="spellEnd"/>
      <w:r w:rsidRPr="00533D7F">
        <w:rPr>
          <w:rFonts w:asciiTheme="minorHAnsi" w:hAnsiTheme="minorHAnsi" w:cstheme="minorHAnsi"/>
          <w:lang w:val="en-US"/>
        </w:rPr>
        <w:t xml:space="preserve"> and others V Cyprus and Turkey</w:t>
      </w:r>
    </w:p>
    <w:p w14:paraId="714C7EB4" w14:textId="1EA5C5D0" w:rsidR="00585DD0" w:rsidRPr="00533D7F" w:rsidRDefault="00585DD0" w:rsidP="00585DD0">
      <w:pPr>
        <w:rPr>
          <w:rFonts w:asciiTheme="minorHAnsi" w:hAnsiTheme="minorHAnsi" w:cstheme="minorHAnsi"/>
          <w:lang w:val="en-US"/>
        </w:rPr>
      </w:pPr>
    </w:p>
    <w:p w14:paraId="58A2914E" w14:textId="49BC06D4" w:rsidR="00585DD0" w:rsidRPr="00533D7F" w:rsidRDefault="00517B20" w:rsidP="005E4805">
      <w:pPr>
        <w:jc w:val="both"/>
        <w:rPr>
          <w:rFonts w:asciiTheme="minorHAnsi" w:hAnsiTheme="minorHAnsi" w:cstheme="minorHAnsi"/>
          <w:lang w:val="en-US"/>
        </w:rPr>
      </w:pPr>
      <w:r w:rsidRPr="00533D7F">
        <w:rPr>
          <w:rFonts w:asciiTheme="minorHAnsi" w:hAnsiTheme="minorHAnsi" w:cstheme="minorHAnsi"/>
          <w:lang w:val="en-US"/>
        </w:rPr>
        <w:t xml:space="preserve">The case of </w:t>
      </w:r>
      <w:proofErr w:type="spellStart"/>
      <w:r w:rsidR="00083404" w:rsidRPr="00D54D8D">
        <w:rPr>
          <w:rFonts w:asciiTheme="minorHAnsi" w:hAnsiTheme="minorHAnsi"/>
          <w:i/>
          <w:lang w:val="en-US"/>
        </w:rPr>
        <w:t>Güzelyurtlu</w:t>
      </w:r>
      <w:proofErr w:type="spellEnd"/>
      <w:r w:rsidRPr="00533D7F">
        <w:rPr>
          <w:rFonts w:asciiTheme="minorHAnsi" w:hAnsiTheme="minorHAnsi" w:cstheme="minorHAnsi"/>
          <w:lang w:val="en-US"/>
        </w:rPr>
        <w:t xml:space="preserve"> concerned </w:t>
      </w:r>
      <w:r w:rsidR="005E4805" w:rsidRPr="00533D7F">
        <w:rPr>
          <w:rFonts w:asciiTheme="minorHAnsi" w:hAnsiTheme="minorHAnsi" w:cstheme="minorHAnsi"/>
          <w:lang w:val="en-US"/>
        </w:rPr>
        <w:t xml:space="preserve">the killing of a </w:t>
      </w:r>
      <w:r w:rsidR="00BF74BD" w:rsidRPr="00533D7F">
        <w:rPr>
          <w:rFonts w:asciiTheme="minorHAnsi" w:hAnsiTheme="minorHAnsi" w:cstheme="minorHAnsi"/>
          <w:lang w:val="en-US"/>
        </w:rPr>
        <w:t xml:space="preserve">family of Turkish Cypriots </w:t>
      </w:r>
      <w:r w:rsidR="005E4805" w:rsidRPr="00533D7F">
        <w:rPr>
          <w:rFonts w:asciiTheme="minorHAnsi" w:hAnsiTheme="minorHAnsi" w:cstheme="minorHAnsi"/>
          <w:lang w:val="en-US"/>
        </w:rPr>
        <w:t xml:space="preserve">in the Cypriot-government controlled part of </w:t>
      </w:r>
      <w:r w:rsidR="00E25F65" w:rsidRPr="00533D7F">
        <w:rPr>
          <w:rFonts w:asciiTheme="minorHAnsi" w:hAnsiTheme="minorHAnsi" w:cstheme="minorHAnsi"/>
          <w:lang w:val="en-US"/>
        </w:rPr>
        <w:t>Cyprus</w:t>
      </w:r>
      <w:r w:rsidR="007322C6" w:rsidRPr="00533D7F">
        <w:rPr>
          <w:rFonts w:asciiTheme="minorHAnsi" w:hAnsiTheme="minorHAnsi" w:cstheme="minorHAnsi"/>
          <w:lang w:val="en-US"/>
        </w:rPr>
        <w:t xml:space="preserve"> in 2005</w:t>
      </w:r>
      <w:r w:rsidR="00BF74BD" w:rsidRPr="00533D7F">
        <w:rPr>
          <w:rFonts w:asciiTheme="minorHAnsi" w:hAnsiTheme="minorHAnsi" w:cstheme="minorHAnsi"/>
          <w:lang w:val="en-US"/>
        </w:rPr>
        <w:t>.</w:t>
      </w:r>
      <w:r w:rsidR="009516CA" w:rsidRPr="00533D7F">
        <w:rPr>
          <w:rFonts w:asciiTheme="minorHAnsi" w:hAnsiTheme="minorHAnsi" w:cstheme="minorHAnsi"/>
          <w:lang w:val="en-US"/>
        </w:rPr>
        <w:t xml:space="preserve"> </w:t>
      </w:r>
      <w:r w:rsidR="00BF74BD" w:rsidRPr="00533D7F">
        <w:rPr>
          <w:rFonts w:asciiTheme="minorHAnsi" w:hAnsiTheme="minorHAnsi" w:cstheme="minorHAnsi"/>
          <w:lang w:val="en-US"/>
        </w:rPr>
        <w:t xml:space="preserve">The Republic of Cyprus </w:t>
      </w:r>
      <w:r w:rsidR="00883EAB" w:rsidRPr="00533D7F">
        <w:rPr>
          <w:rFonts w:asciiTheme="minorHAnsi" w:hAnsiTheme="minorHAnsi" w:cstheme="minorHAnsi"/>
          <w:lang w:val="en-US"/>
        </w:rPr>
        <w:t>sub</w:t>
      </w:r>
      <w:r w:rsidR="0048596D" w:rsidRPr="00533D7F">
        <w:rPr>
          <w:rFonts w:asciiTheme="minorHAnsi" w:hAnsiTheme="minorHAnsi" w:cstheme="minorHAnsi"/>
          <w:lang w:val="en-US"/>
        </w:rPr>
        <w:t>sequently</w:t>
      </w:r>
      <w:r w:rsidR="00E25F65" w:rsidRPr="00533D7F">
        <w:rPr>
          <w:rFonts w:asciiTheme="minorHAnsi" w:hAnsiTheme="minorHAnsi" w:cstheme="minorHAnsi"/>
          <w:lang w:val="en-US"/>
        </w:rPr>
        <w:t xml:space="preserve"> launched an investigation</w:t>
      </w:r>
      <w:r w:rsidR="00BF74BD" w:rsidRPr="00533D7F">
        <w:rPr>
          <w:rFonts w:asciiTheme="minorHAnsi" w:hAnsiTheme="minorHAnsi" w:cstheme="minorHAnsi"/>
          <w:lang w:val="en-US"/>
        </w:rPr>
        <w:t xml:space="preserve"> </w:t>
      </w:r>
      <w:r w:rsidR="00E25F65" w:rsidRPr="00533D7F">
        <w:rPr>
          <w:rFonts w:asciiTheme="minorHAnsi" w:hAnsiTheme="minorHAnsi" w:cstheme="minorHAnsi"/>
          <w:lang w:val="en-US"/>
        </w:rPr>
        <w:t>and</w:t>
      </w:r>
      <w:r w:rsidR="00BF74BD" w:rsidRPr="00533D7F">
        <w:rPr>
          <w:rFonts w:asciiTheme="minorHAnsi" w:hAnsiTheme="minorHAnsi" w:cstheme="minorHAnsi"/>
          <w:lang w:val="en-US"/>
        </w:rPr>
        <w:t xml:space="preserve"> identified eight suspects, all of which f</w:t>
      </w:r>
      <w:r w:rsidR="00E25F65" w:rsidRPr="00533D7F">
        <w:rPr>
          <w:rFonts w:asciiTheme="minorHAnsi" w:hAnsiTheme="minorHAnsi" w:cstheme="minorHAnsi"/>
          <w:lang w:val="en-US"/>
        </w:rPr>
        <w:t>l</w:t>
      </w:r>
      <w:r w:rsidR="00BF74BD" w:rsidRPr="00533D7F">
        <w:rPr>
          <w:rFonts w:asciiTheme="minorHAnsi" w:hAnsiTheme="minorHAnsi" w:cstheme="minorHAnsi"/>
          <w:lang w:val="en-US"/>
        </w:rPr>
        <w:t>ed to the “Turkish Republic of Northern Cyprus” (</w:t>
      </w:r>
      <w:r w:rsidR="00A84EF4" w:rsidRPr="00533D7F">
        <w:rPr>
          <w:rFonts w:asciiTheme="minorHAnsi" w:hAnsiTheme="minorHAnsi" w:cstheme="minorHAnsi"/>
          <w:lang w:val="en-US"/>
        </w:rPr>
        <w:t>‘</w:t>
      </w:r>
      <w:r w:rsidR="00BF74BD" w:rsidRPr="00533D7F">
        <w:rPr>
          <w:rFonts w:asciiTheme="minorHAnsi" w:hAnsiTheme="minorHAnsi" w:cstheme="minorHAnsi"/>
          <w:lang w:val="en-US"/>
        </w:rPr>
        <w:t>TRNC</w:t>
      </w:r>
      <w:r w:rsidR="00A84EF4" w:rsidRPr="00533D7F">
        <w:rPr>
          <w:rFonts w:asciiTheme="minorHAnsi" w:hAnsiTheme="minorHAnsi" w:cstheme="minorHAnsi"/>
          <w:lang w:val="en-US"/>
        </w:rPr>
        <w:t>’</w:t>
      </w:r>
      <w:r w:rsidR="00BF74BD" w:rsidRPr="00533D7F">
        <w:rPr>
          <w:rFonts w:asciiTheme="minorHAnsi" w:hAnsiTheme="minorHAnsi" w:cstheme="minorHAnsi"/>
          <w:lang w:val="en-US"/>
        </w:rPr>
        <w:t xml:space="preserve"> hereafter).</w:t>
      </w:r>
      <w:r w:rsidR="00E25F65" w:rsidRPr="00533D7F">
        <w:rPr>
          <w:rFonts w:asciiTheme="minorHAnsi" w:hAnsiTheme="minorHAnsi" w:cstheme="minorHAnsi"/>
          <w:lang w:val="en-US"/>
        </w:rPr>
        <w:t xml:space="preserve"> </w:t>
      </w:r>
      <w:proofErr w:type="gramStart"/>
      <w:r w:rsidR="00E25F65" w:rsidRPr="00533D7F">
        <w:rPr>
          <w:rFonts w:asciiTheme="minorHAnsi" w:hAnsiTheme="minorHAnsi" w:cstheme="minorHAnsi"/>
          <w:lang w:val="en-US"/>
        </w:rPr>
        <w:t xml:space="preserve">The </w:t>
      </w:r>
      <w:r w:rsidR="00A84EF4" w:rsidRPr="00533D7F">
        <w:rPr>
          <w:rFonts w:asciiTheme="minorHAnsi" w:hAnsiTheme="minorHAnsi" w:cstheme="minorHAnsi"/>
          <w:lang w:val="en-US"/>
        </w:rPr>
        <w:t>‘</w:t>
      </w:r>
      <w:r w:rsidR="00E25F65" w:rsidRPr="00533D7F">
        <w:rPr>
          <w:rFonts w:asciiTheme="minorHAnsi" w:hAnsiTheme="minorHAnsi" w:cstheme="minorHAnsi"/>
          <w:lang w:val="en-US"/>
        </w:rPr>
        <w:t>TRNC</w:t>
      </w:r>
      <w:r w:rsidR="00A84EF4" w:rsidRPr="00533D7F">
        <w:rPr>
          <w:rFonts w:asciiTheme="minorHAnsi" w:hAnsiTheme="minorHAnsi" w:cstheme="minorHAnsi"/>
          <w:lang w:val="en-US"/>
        </w:rPr>
        <w:t>’</w:t>
      </w:r>
      <w:r w:rsidR="00E25F65" w:rsidRPr="00533D7F">
        <w:rPr>
          <w:rFonts w:asciiTheme="minorHAnsi" w:hAnsiTheme="minorHAnsi" w:cstheme="minorHAnsi"/>
          <w:lang w:val="en-US"/>
        </w:rPr>
        <w:t>,</w:t>
      </w:r>
      <w:proofErr w:type="gramEnd"/>
      <w:r w:rsidR="00E25F65" w:rsidRPr="00533D7F">
        <w:rPr>
          <w:rFonts w:asciiTheme="minorHAnsi" w:hAnsiTheme="minorHAnsi" w:cstheme="minorHAnsi"/>
          <w:lang w:val="en-US"/>
        </w:rPr>
        <w:t xml:space="preserve"> also started parallel investigation</w:t>
      </w:r>
      <w:r w:rsidR="001C52CE" w:rsidRPr="00533D7F">
        <w:rPr>
          <w:rFonts w:asciiTheme="minorHAnsi" w:hAnsiTheme="minorHAnsi" w:cstheme="minorHAnsi"/>
          <w:lang w:val="en-US"/>
        </w:rPr>
        <w:t>s</w:t>
      </w:r>
      <w:r w:rsidR="00A6530F" w:rsidRPr="00533D7F">
        <w:rPr>
          <w:rFonts w:asciiTheme="minorHAnsi" w:hAnsiTheme="minorHAnsi" w:cstheme="minorHAnsi"/>
          <w:lang w:val="en-US"/>
        </w:rPr>
        <w:t xml:space="preserve">, </w:t>
      </w:r>
      <w:r w:rsidR="00AF75BD">
        <w:rPr>
          <w:rFonts w:asciiTheme="minorHAnsi" w:hAnsiTheme="minorHAnsi" w:cstheme="minorHAnsi"/>
          <w:lang w:val="en-US"/>
        </w:rPr>
        <w:t xml:space="preserve">which </w:t>
      </w:r>
      <w:r w:rsidR="00A6530F" w:rsidRPr="00533D7F">
        <w:rPr>
          <w:rFonts w:asciiTheme="minorHAnsi" w:hAnsiTheme="minorHAnsi" w:cstheme="minorHAnsi"/>
          <w:lang w:val="en-US"/>
        </w:rPr>
        <w:t>identified</w:t>
      </w:r>
      <w:r w:rsidR="00E25F65" w:rsidRPr="00533D7F">
        <w:rPr>
          <w:rFonts w:asciiTheme="minorHAnsi" w:hAnsiTheme="minorHAnsi" w:cstheme="minorHAnsi"/>
          <w:lang w:val="en-US"/>
        </w:rPr>
        <w:t xml:space="preserve"> and arrested the </w:t>
      </w:r>
      <w:r w:rsidR="00A6530F" w:rsidRPr="00533D7F">
        <w:rPr>
          <w:rFonts w:asciiTheme="minorHAnsi" w:hAnsiTheme="minorHAnsi" w:cstheme="minorHAnsi"/>
          <w:lang w:val="en-US"/>
        </w:rPr>
        <w:t xml:space="preserve">same </w:t>
      </w:r>
      <w:r w:rsidR="00E25F65" w:rsidRPr="00533D7F">
        <w:rPr>
          <w:rFonts w:asciiTheme="minorHAnsi" w:hAnsiTheme="minorHAnsi" w:cstheme="minorHAnsi"/>
          <w:lang w:val="en-US"/>
        </w:rPr>
        <w:t xml:space="preserve">eight suspects. </w:t>
      </w:r>
      <w:r w:rsidR="001C52CE" w:rsidRPr="00533D7F">
        <w:rPr>
          <w:rFonts w:asciiTheme="minorHAnsi" w:hAnsiTheme="minorHAnsi" w:cstheme="minorHAnsi"/>
          <w:lang w:val="en-US"/>
        </w:rPr>
        <w:t xml:space="preserve">Both investigations reached a stalemate, however, when the Cypriot authorities refused to hand over the </w:t>
      </w:r>
      <w:r w:rsidR="0030750E" w:rsidRPr="00533D7F">
        <w:rPr>
          <w:rFonts w:asciiTheme="minorHAnsi" w:hAnsiTheme="minorHAnsi" w:cstheme="minorHAnsi"/>
          <w:lang w:val="en-US"/>
        </w:rPr>
        <w:t>casefile</w:t>
      </w:r>
      <w:r w:rsidR="001C52CE" w:rsidRPr="00533D7F">
        <w:rPr>
          <w:rFonts w:asciiTheme="minorHAnsi" w:hAnsiTheme="minorHAnsi" w:cstheme="minorHAnsi"/>
          <w:lang w:val="en-US"/>
        </w:rPr>
        <w:t xml:space="preserve"> containing this evidence so that </w:t>
      </w:r>
      <w:r w:rsidR="00A84EF4" w:rsidRPr="00533D7F">
        <w:rPr>
          <w:rFonts w:asciiTheme="minorHAnsi" w:hAnsiTheme="minorHAnsi" w:cstheme="minorHAnsi"/>
          <w:lang w:val="en-US"/>
        </w:rPr>
        <w:t>‘</w:t>
      </w:r>
      <w:r w:rsidR="001C52CE" w:rsidRPr="00533D7F">
        <w:rPr>
          <w:rFonts w:asciiTheme="minorHAnsi" w:hAnsiTheme="minorHAnsi" w:cstheme="minorHAnsi"/>
          <w:lang w:val="en-US"/>
        </w:rPr>
        <w:t>TRNC</w:t>
      </w:r>
      <w:r w:rsidR="00A84EF4" w:rsidRPr="00533D7F">
        <w:rPr>
          <w:rFonts w:asciiTheme="minorHAnsi" w:hAnsiTheme="minorHAnsi" w:cstheme="minorHAnsi"/>
          <w:lang w:val="en-US"/>
        </w:rPr>
        <w:t>’</w:t>
      </w:r>
      <w:r w:rsidR="001C52CE" w:rsidRPr="00533D7F">
        <w:rPr>
          <w:rFonts w:asciiTheme="minorHAnsi" w:hAnsiTheme="minorHAnsi" w:cstheme="minorHAnsi"/>
          <w:lang w:val="en-US"/>
        </w:rPr>
        <w:t xml:space="preserve"> authorities could </w:t>
      </w:r>
      <w:r w:rsidR="0048596D" w:rsidRPr="00533D7F">
        <w:rPr>
          <w:rFonts w:asciiTheme="minorHAnsi" w:hAnsiTheme="minorHAnsi" w:cstheme="minorHAnsi"/>
          <w:lang w:val="en-US"/>
        </w:rPr>
        <w:t>prosecute the suspects. Conversel</w:t>
      </w:r>
      <w:r w:rsidR="0048596D" w:rsidRPr="00F938D8">
        <w:rPr>
          <w:rFonts w:asciiTheme="minorHAnsi" w:hAnsiTheme="minorHAnsi" w:cstheme="minorHAnsi"/>
          <w:color w:val="000000" w:themeColor="text1"/>
          <w:lang w:val="en-US"/>
        </w:rPr>
        <w:t xml:space="preserve">y, when the Cypriot authorities sent an extradition request to </w:t>
      </w:r>
      <w:r w:rsidR="00A84EF4" w:rsidRPr="00F938D8">
        <w:rPr>
          <w:rFonts w:asciiTheme="minorHAnsi" w:hAnsiTheme="minorHAnsi" w:cstheme="minorHAnsi"/>
          <w:color w:val="000000" w:themeColor="text1"/>
          <w:lang w:val="en-US"/>
        </w:rPr>
        <w:t>‘</w:t>
      </w:r>
      <w:r w:rsidR="0048596D" w:rsidRPr="00F938D8">
        <w:rPr>
          <w:rFonts w:asciiTheme="minorHAnsi" w:hAnsiTheme="minorHAnsi" w:cstheme="minorHAnsi"/>
          <w:color w:val="000000" w:themeColor="text1"/>
          <w:lang w:val="en-US"/>
        </w:rPr>
        <w:t>TRNC</w:t>
      </w:r>
      <w:r w:rsidR="00A84EF4" w:rsidRPr="00F938D8">
        <w:rPr>
          <w:rFonts w:asciiTheme="minorHAnsi" w:hAnsiTheme="minorHAnsi" w:cstheme="minorHAnsi"/>
          <w:color w:val="000000" w:themeColor="text1"/>
          <w:lang w:val="en-US"/>
        </w:rPr>
        <w:t>’</w:t>
      </w:r>
      <w:r w:rsidR="0048596D" w:rsidRPr="00F938D8">
        <w:rPr>
          <w:rFonts w:asciiTheme="minorHAnsi" w:hAnsiTheme="minorHAnsi" w:cstheme="minorHAnsi"/>
          <w:color w:val="000000" w:themeColor="text1"/>
          <w:lang w:val="en-US"/>
        </w:rPr>
        <w:t xml:space="preserve"> authorities</w:t>
      </w:r>
      <w:r w:rsidR="007322C6" w:rsidRPr="00F938D8">
        <w:rPr>
          <w:rFonts w:asciiTheme="minorHAnsi" w:hAnsiTheme="minorHAnsi" w:cstheme="minorHAnsi"/>
          <w:color w:val="000000" w:themeColor="text1"/>
          <w:lang w:val="en-US"/>
        </w:rPr>
        <w:t xml:space="preserve"> to prosecute these suspects,</w:t>
      </w:r>
      <w:r w:rsidR="0048596D" w:rsidRPr="00F938D8">
        <w:rPr>
          <w:rFonts w:asciiTheme="minorHAnsi" w:hAnsiTheme="minorHAnsi" w:cstheme="minorHAnsi"/>
          <w:color w:val="000000" w:themeColor="text1"/>
          <w:lang w:val="en-US"/>
        </w:rPr>
        <w:t xml:space="preserve"> th</w:t>
      </w:r>
      <w:r w:rsidR="007322C6" w:rsidRPr="00F938D8">
        <w:rPr>
          <w:rFonts w:asciiTheme="minorHAnsi" w:hAnsiTheme="minorHAnsi" w:cstheme="minorHAnsi"/>
          <w:color w:val="000000" w:themeColor="text1"/>
          <w:lang w:val="en-US"/>
        </w:rPr>
        <w:t>e</w:t>
      </w:r>
      <w:r w:rsidR="0048596D" w:rsidRPr="00F938D8">
        <w:rPr>
          <w:rFonts w:asciiTheme="minorHAnsi" w:hAnsiTheme="minorHAnsi" w:cstheme="minorHAnsi"/>
          <w:color w:val="000000" w:themeColor="text1"/>
          <w:lang w:val="en-US"/>
        </w:rPr>
        <w:t xml:space="preserve"> requests were returned </w:t>
      </w:r>
      <w:r w:rsidR="00CA58CE" w:rsidRPr="00F938D8">
        <w:rPr>
          <w:rFonts w:asciiTheme="minorHAnsi" w:hAnsiTheme="minorHAnsi" w:cstheme="minorHAnsi"/>
          <w:color w:val="000000" w:themeColor="text1"/>
          <w:lang w:val="en-US"/>
        </w:rPr>
        <w:t xml:space="preserve">completely </w:t>
      </w:r>
      <w:r w:rsidR="0048596D" w:rsidRPr="00F938D8">
        <w:rPr>
          <w:rFonts w:asciiTheme="minorHAnsi" w:hAnsiTheme="minorHAnsi" w:cstheme="minorHAnsi"/>
          <w:color w:val="000000" w:themeColor="text1"/>
          <w:lang w:val="en-US"/>
        </w:rPr>
        <w:t>unanswered.</w:t>
      </w:r>
      <w:r w:rsidR="007322C6" w:rsidRPr="00F938D8">
        <w:rPr>
          <w:rStyle w:val="Appelnotedebasdep"/>
          <w:rFonts w:asciiTheme="minorHAnsi" w:hAnsiTheme="minorHAnsi" w:cstheme="minorHAnsi"/>
          <w:color w:val="000000" w:themeColor="text1"/>
          <w:lang w:val="en-US"/>
        </w:rPr>
        <w:footnoteReference w:id="41"/>
      </w:r>
      <w:r w:rsidR="00C46BC8" w:rsidRPr="00F938D8">
        <w:rPr>
          <w:rFonts w:asciiTheme="minorHAnsi" w:hAnsiTheme="minorHAnsi" w:cstheme="minorHAnsi"/>
          <w:color w:val="000000" w:themeColor="text1"/>
          <w:lang w:val="en-US"/>
        </w:rPr>
        <w:t xml:space="preserve"> </w:t>
      </w:r>
      <w:r w:rsidR="00A639B6" w:rsidRPr="00F938D8">
        <w:rPr>
          <w:rFonts w:asciiTheme="minorHAnsi" w:hAnsiTheme="minorHAnsi" w:cstheme="minorHAnsi"/>
          <w:color w:val="000000" w:themeColor="text1"/>
          <w:lang w:val="en-US"/>
        </w:rPr>
        <w:t xml:space="preserve">As </w:t>
      </w:r>
      <w:proofErr w:type="spellStart"/>
      <w:r w:rsidR="00180DB6" w:rsidRPr="00F938D8">
        <w:rPr>
          <w:rFonts w:asciiTheme="minorHAnsi" w:hAnsiTheme="minorHAnsi" w:cstheme="minorHAnsi"/>
          <w:color w:val="000000" w:themeColor="text1"/>
          <w:lang w:val="en-US"/>
        </w:rPr>
        <w:t>Nasia</w:t>
      </w:r>
      <w:proofErr w:type="spellEnd"/>
      <w:r w:rsidR="00A639B6" w:rsidRPr="00F938D8">
        <w:rPr>
          <w:rFonts w:asciiTheme="minorHAnsi" w:hAnsiTheme="minorHAnsi" w:cstheme="minorHAnsi"/>
          <w:color w:val="000000" w:themeColor="text1"/>
          <w:lang w:val="en-US"/>
        </w:rPr>
        <w:t xml:space="preserve"> </w:t>
      </w:r>
      <w:proofErr w:type="spellStart"/>
      <w:r w:rsidR="00180DB6" w:rsidRPr="002E0A72">
        <w:rPr>
          <w:rFonts w:asciiTheme="minorHAnsi" w:hAnsiTheme="minorHAnsi" w:cstheme="minorHAnsi"/>
          <w:color w:val="000000" w:themeColor="text1"/>
          <w:bdr w:val="none" w:sz="0" w:space="0" w:color="auto" w:frame="1"/>
          <w:lang w:val="en-GB"/>
        </w:rPr>
        <w:t>Hadjigeorgiou</w:t>
      </w:r>
      <w:proofErr w:type="spellEnd"/>
      <w:r w:rsidR="00180DB6" w:rsidRPr="00F938D8">
        <w:rPr>
          <w:rFonts w:asciiTheme="minorHAnsi" w:hAnsiTheme="minorHAnsi" w:cstheme="minorHAnsi"/>
          <w:color w:val="000000" w:themeColor="text1"/>
          <w:lang w:val="en-US"/>
        </w:rPr>
        <w:t xml:space="preserve"> </w:t>
      </w:r>
      <w:r w:rsidR="002E0A72">
        <w:rPr>
          <w:rFonts w:asciiTheme="minorHAnsi" w:hAnsiTheme="minorHAnsi" w:cstheme="minorHAnsi"/>
          <w:color w:val="000000" w:themeColor="text1"/>
          <w:lang w:val="en-US"/>
        </w:rPr>
        <w:t>p</w:t>
      </w:r>
      <w:r w:rsidR="002E0A72" w:rsidRPr="00F938D8">
        <w:rPr>
          <w:rFonts w:asciiTheme="minorHAnsi" w:hAnsiTheme="minorHAnsi" w:cstheme="minorHAnsi"/>
          <w:color w:val="000000" w:themeColor="text1"/>
          <w:lang w:val="en-US"/>
        </w:rPr>
        <w:t>uts</w:t>
      </w:r>
      <w:r w:rsidR="00AB522A" w:rsidRPr="00F938D8">
        <w:rPr>
          <w:rFonts w:asciiTheme="minorHAnsi" w:hAnsiTheme="minorHAnsi" w:cstheme="minorHAnsi"/>
          <w:color w:val="000000" w:themeColor="text1"/>
          <w:lang w:val="en-US"/>
        </w:rPr>
        <w:t xml:space="preserve"> </w:t>
      </w:r>
      <w:r w:rsidR="00A639B6" w:rsidRPr="00F938D8">
        <w:rPr>
          <w:rFonts w:asciiTheme="minorHAnsi" w:hAnsiTheme="minorHAnsi" w:cstheme="minorHAnsi"/>
          <w:color w:val="000000" w:themeColor="text1"/>
          <w:lang w:val="en-US"/>
        </w:rPr>
        <w:t>it, t</w:t>
      </w:r>
      <w:r w:rsidR="00833DFB" w:rsidRPr="00F938D8">
        <w:rPr>
          <w:rFonts w:asciiTheme="minorHAnsi" w:hAnsiTheme="minorHAnsi" w:cstheme="minorHAnsi"/>
          <w:color w:val="000000" w:themeColor="text1"/>
          <w:lang w:val="en-US"/>
        </w:rPr>
        <w:t xml:space="preserve">he situation was therefore one where </w:t>
      </w:r>
      <w:r w:rsidR="002E0A72" w:rsidRPr="00F938D8">
        <w:rPr>
          <w:rFonts w:asciiTheme="minorHAnsi" w:hAnsiTheme="minorHAnsi" w:cstheme="minorHAnsi"/>
          <w:color w:val="000000" w:themeColor="text1"/>
          <w:lang w:val="en-US"/>
        </w:rPr>
        <w:t>“</w:t>
      </w:r>
      <w:r w:rsidR="002E0A72" w:rsidRPr="00F938D8">
        <w:rPr>
          <w:rFonts w:asciiTheme="minorHAnsi" w:hAnsiTheme="minorHAnsi" w:cstheme="minorHAnsi"/>
          <w:color w:val="000000" w:themeColor="text1"/>
          <w:shd w:val="clear" w:color="auto" w:fill="FFFFFF"/>
          <w:lang w:val="en-US"/>
        </w:rPr>
        <w:t>the suspects were in the north of the island, while the physical evidence linking them to the murder was in the south. There was no way of bringing the two together and beginning the prosecution process.</w:t>
      </w:r>
      <w:r w:rsidR="002E0A72" w:rsidRPr="00F938D8">
        <w:rPr>
          <w:rFonts w:asciiTheme="minorHAnsi" w:hAnsiTheme="minorHAnsi" w:cstheme="minorHAnsi"/>
          <w:color w:val="000000" w:themeColor="text1"/>
          <w:lang w:val="en-US"/>
        </w:rPr>
        <w:t>”</w:t>
      </w:r>
      <w:r w:rsidR="00833DFB" w:rsidRPr="00F938D8">
        <w:rPr>
          <w:rStyle w:val="Appelnotedebasdep"/>
          <w:rFonts w:asciiTheme="minorHAnsi" w:hAnsiTheme="minorHAnsi" w:cstheme="minorHAnsi"/>
          <w:color w:val="000000" w:themeColor="text1"/>
          <w:lang w:val="en-US"/>
        </w:rPr>
        <w:footnoteReference w:id="42"/>
      </w:r>
      <w:r w:rsidR="00833DFB" w:rsidRPr="00F938D8">
        <w:rPr>
          <w:rFonts w:asciiTheme="minorHAnsi" w:hAnsiTheme="minorHAnsi" w:cstheme="minorHAnsi"/>
          <w:color w:val="000000" w:themeColor="text1"/>
          <w:lang w:val="en-US"/>
        </w:rPr>
        <w:t xml:space="preserve"> </w:t>
      </w:r>
      <w:r w:rsidR="006D07C2" w:rsidRPr="00F938D8">
        <w:rPr>
          <w:rFonts w:asciiTheme="minorHAnsi" w:hAnsiTheme="minorHAnsi" w:cstheme="minorHAnsi"/>
          <w:color w:val="000000" w:themeColor="text1"/>
          <w:lang w:val="en-US"/>
        </w:rPr>
        <w:t xml:space="preserve">There was an attempt at building bridges for this case through the United Nations Peacekeeping force </w:t>
      </w:r>
      <w:r w:rsidR="006D07C2" w:rsidRPr="00533D7F">
        <w:rPr>
          <w:rFonts w:asciiTheme="minorHAnsi" w:hAnsiTheme="minorHAnsi" w:cstheme="minorHAnsi"/>
          <w:lang w:val="en-US"/>
        </w:rPr>
        <w:t>in Cyprus</w:t>
      </w:r>
      <w:r w:rsidR="00173CF5" w:rsidRPr="00533D7F">
        <w:rPr>
          <w:rFonts w:asciiTheme="minorHAnsi" w:hAnsiTheme="minorHAnsi" w:cstheme="minorHAnsi"/>
          <w:lang w:val="en-US"/>
        </w:rPr>
        <w:t xml:space="preserve"> </w:t>
      </w:r>
      <w:r w:rsidR="00173CF5" w:rsidRPr="00533D7F">
        <w:rPr>
          <w:rFonts w:asciiTheme="minorHAnsi" w:hAnsiTheme="minorHAnsi" w:cstheme="minorHAnsi"/>
          <w:lang w:val="en-US"/>
        </w:rPr>
        <w:lastRenderedPageBreak/>
        <w:t>(UNFICYP)</w:t>
      </w:r>
      <w:r w:rsidR="006D07C2" w:rsidRPr="00533D7F">
        <w:rPr>
          <w:rFonts w:asciiTheme="minorHAnsi" w:hAnsiTheme="minorHAnsi" w:cstheme="minorHAnsi"/>
          <w:lang w:val="en-US"/>
        </w:rPr>
        <w:t xml:space="preserve">, but it was not </w:t>
      </w:r>
      <w:r w:rsidR="00555728" w:rsidRPr="00533D7F">
        <w:rPr>
          <w:rFonts w:asciiTheme="minorHAnsi" w:hAnsiTheme="minorHAnsi" w:cstheme="minorHAnsi"/>
          <w:lang w:val="en-US"/>
        </w:rPr>
        <w:t xml:space="preserve">exactly </w:t>
      </w:r>
      <w:r w:rsidR="006D07C2" w:rsidRPr="00533D7F">
        <w:rPr>
          <w:rFonts w:asciiTheme="minorHAnsi" w:hAnsiTheme="minorHAnsi" w:cstheme="minorHAnsi"/>
          <w:lang w:val="en-US"/>
        </w:rPr>
        <w:t>crowned with success</w:t>
      </w:r>
      <w:r w:rsidR="008E37EC" w:rsidRPr="00533D7F">
        <w:rPr>
          <w:rFonts w:asciiTheme="minorHAnsi" w:hAnsiTheme="minorHAnsi" w:cstheme="minorHAnsi"/>
          <w:lang w:val="en-US"/>
        </w:rPr>
        <w:t>, as both sides systematically rejected any proposition put forward by the UNFICYP.</w:t>
      </w:r>
      <w:r w:rsidR="008E37EC" w:rsidRPr="00533D7F">
        <w:rPr>
          <w:rStyle w:val="Appelnotedebasdep"/>
          <w:rFonts w:asciiTheme="minorHAnsi" w:hAnsiTheme="minorHAnsi" w:cstheme="minorHAnsi"/>
          <w:lang w:val="en-US"/>
        </w:rPr>
        <w:footnoteReference w:id="43"/>
      </w:r>
    </w:p>
    <w:p w14:paraId="646A5055" w14:textId="5D98CB48" w:rsidR="00833DFB" w:rsidRPr="00533D7F" w:rsidRDefault="00833DFB" w:rsidP="005E4805">
      <w:pPr>
        <w:jc w:val="both"/>
        <w:rPr>
          <w:rFonts w:asciiTheme="minorHAnsi" w:hAnsiTheme="minorHAnsi" w:cstheme="minorHAnsi"/>
          <w:lang w:val="en-US"/>
        </w:rPr>
      </w:pPr>
    </w:p>
    <w:p w14:paraId="49BB7368" w14:textId="097FEBED" w:rsidR="00833DFB" w:rsidRPr="00533D7F" w:rsidRDefault="00833DFB" w:rsidP="005E4805">
      <w:pPr>
        <w:jc w:val="both"/>
        <w:rPr>
          <w:rFonts w:asciiTheme="minorHAnsi" w:hAnsiTheme="minorHAnsi" w:cstheme="minorHAnsi"/>
          <w:lang w:val="en-US"/>
        </w:rPr>
      </w:pPr>
      <w:r w:rsidRPr="00533D7F">
        <w:rPr>
          <w:rFonts w:asciiTheme="minorHAnsi" w:hAnsiTheme="minorHAnsi" w:cstheme="minorHAnsi"/>
          <w:lang w:val="en-US"/>
        </w:rPr>
        <w:t xml:space="preserve">It is against this backdrop, one where the geopolitical situation </w:t>
      </w:r>
      <w:r w:rsidR="0030750E" w:rsidRPr="00533D7F">
        <w:rPr>
          <w:rFonts w:asciiTheme="minorHAnsi" w:hAnsiTheme="minorHAnsi" w:cstheme="minorHAnsi"/>
          <w:lang w:val="en-US"/>
        </w:rPr>
        <w:t xml:space="preserve">on the island </w:t>
      </w:r>
      <w:r w:rsidRPr="00533D7F">
        <w:rPr>
          <w:rFonts w:asciiTheme="minorHAnsi" w:hAnsiTheme="minorHAnsi" w:cstheme="minorHAnsi"/>
          <w:lang w:val="en-US"/>
        </w:rPr>
        <w:t>c</w:t>
      </w:r>
      <w:r w:rsidR="00C06937" w:rsidRPr="00533D7F">
        <w:rPr>
          <w:rFonts w:asciiTheme="minorHAnsi" w:hAnsiTheme="minorHAnsi" w:cstheme="minorHAnsi"/>
          <w:lang w:val="en-US"/>
        </w:rPr>
        <w:t>a</w:t>
      </w:r>
      <w:r w:rsidRPr="00533D7F">
        <w:rPr>
          <w:rFonts w:asciiTheme="minorHAnsi" w:hAnsiTheme="minorHAnsi" w:cstheme="minorHAnsi"/>
          <w:lang w:val="en-US"/>
        </w:rPr>
        <w:t xml:space="preserve">me in the way of </w:t>
      </w:r>
      <w:r w:rsidR="0030750E" w:rsidRPr="00533D7F">
        <w:rPr>
          <w:rFonts w:asciiTheme="minorHAnsi" w:hAnsiTheme="minorHAnsi" w:cstheme="minorHAnsi"/>
          <w:lang w:val="en-US"/>
        </w:rPr>
        <w:t>justice being delivered,</w:t>
      </w:r>
      <w:r w:rsidRPr="00533D7F">
        <w:rPr>
          <w:rFonts w:asciiTheme="minorHAnsi" w:hAnsiTheme="minorHAnsi" w:cstheme="minorHAnsi"/>
          <w:lang w:val="en-US"/>
        </w:rPr>
        <w:t xml:space="preserve"> that the family of the victims seized the Court</w:t>
      </w:r>
      <w:r w:rsidR="007F5E00" w:rsidRPr="00533D7F">
        <w:rPr>
          <w:rFonts w:asciiTheme="minorHAnsi" w:hAnsiTheme="minorHAnsi" w:cstheme="minorHAnsi"/>
          <w:lang w:val="en-US"/>
        </w:rPr>
        <w:t xml:space="preserve"> both against Cyprus and Turkey (due to the fact that the North</w:t>
      </w:r>
      <w:r w:rsidR="00921D31" w:rsidRPr="00533D7F">
        <w:rPr>
          <w:rFonts w:asciiTheme="minorHAnsi" w:hAnsiTheme="minorHAnsi" w:cstheme="minorHAnsi"/>
          <w:lang w:val="en-US"/>
        </w:rPr>
        <w:t xml:space="preserve">ern part of </w:t>
      </w:r>
      <w:r w:rsidR="002C3A22" w:rsidRPr="00533D7F">
        <w:rPr>
          <w:rFonts w:asciiTheme="minorHAnsi" w:hAnsiTheme="minorHAnsi" w:cstheme="minorHAnsi"/>
          <w:lang w:val="en-US"/>
        </w:rPr>
        <w:t>Cyprus</w:t>
      </w:r>
      <w:r w:rsidR="007F5E00" w:rsidRPr="00533D7F">
        <w:rPr>
          <w:rFonts w:asciiTheme="minorHAnsi" w:hAnsiTheme="minorHAnsi" w:cstheme="minorHAnsi"/>
          <w:lang w:val="en-US"/>
        </w:rPr>
        <w:t xml:space="preserve"> is effectively controlled by Turkey)</w:t>
      </w:r>
      <w:r w:rsidR="0030750E" w:rsidRPr="00533D7F">
        <w:rPr>
          <w:rFonts w:asciiTheme="minorHAnsi" w:hAnsiTheme="minorHAnsi" w:cstheme="minorHAnsi"/>
          <w:lang w:val="en-US"/>
        </w:rPr>
        <w:t>. The</w:t>
      </w:r>
      <w:r w:rsidR="007F5E00" w:rsidRPr="00533D7F">
        <w:rPr>
          <w:rFonts w:asciiTheme="minorHAnsi" w:hAnsiTheme="minorHAnsi" w:cstheme="minorHAnsi"/>
          <w:lang w:val="en-US"/>
        </w:rPr>
        <w:t xml:space="preserve"> family</w:t>
      </w:r>
      <w:r w:rsidR="0030750E" w:rsidRPr="00533D7F">
        <w:rPr>
          <w:rFonts w:asciiTheme="minorHAnsi" w:hAnsiTheme="minorHAnsi" w:cstheme="minorHAnsi"/>
          <w:lang w:val="en-US"/>
        </w:rPr>
        <w:t xml:space="preserve"> argued that because governing authorities on the island had failed to cooperate</w:t>
      </w:r>
      <w:r w:rsidR="007F5E00" w:rsidRPr="00533D7F">
        <w:rPr>
          <w:rFonts w:asciiTheme="minorHAnsi" w:hAnsiTheme="minorHAnsi" w:cstheme="minorHAnsi"/>
          <w:lang w:val="en-US"/>
        </w:rPr>
        <w:t xml:space="preserve"> </w:t>
      </w:r>
      <w:r w:rsidR="006D07C2" w:rsidRPr="00533D7F">
        <w:rPr>
          <w:rFonts w:asciiTheme="minorHAnsi" w:hAnsiTheme="minorHAnsi" w:cstheme="minorHAnsi"/>
          <w:lang w:val="en-US"/>
        </w:rPr>
        <w:t>to investigate the death of their relatives</w:t>
      </w:r>
      <w:r w:rsidR="002C1200" w:rsidRPr="00533D7F">
        <w:rPr>
          <w:rFonts w:asciiTheme="minorHAnsi" w:hAnsiTheme="minorHAnsi" w:cstheme="minorHAnsi"/>
          <w:lang w:val="en-US"/>
        </w:rPr>
        <w:t xml:space="preserve">, the procedural obligations of the States involved had not been </w:t>
      </w:r>
      <w:r w:rsidR="00FD0B28" w:rsidRPr="00533D7F">
        <w:rPr>
          <w:rFonts w:asciiTheme="minorHAnsi" w:hAnsiTheme="minorHAnsi" w:cstheme="minorHAnsi"/>
          <w:lang w:val="en-US"/>
        </w:rPr>
        <w:t>fulfilled</w:t>
      </w:r>
      <w:r w:rsidR="007F5E00" w:rsidRPr="00533D7F">
        <w:rPr>
          <w:rFonts w:asciiTheme="minorHAnsi" w:hAnsiTheme="minorHAnsi" w:cstheme="minorHAnsi"/>
          <w:lang w:val="en-US"/>
        </w:rPr>
        <w:t xml:space="preserve"> (</w:t>
      </w:r>
      <w:r w:rsidR="00BC199B">
        <w:rPr>
          <w:rFonts w:asciiTheme="minorHAnsi" w:hAnsiTheme="minorHAnsi" w:cstheme="minorHAnsi"/>
          <w:lang w:val="en-US"/>
        </w:rPr>
        <w:t>A</w:t>
      </w:r>
      <w:r w:rsidR="007F5E00" w:rsidRPr="00533D7F">
        <w:rPr>
          <w:rFonts w:asciiTheme="minorHAnsi" w:hAnsiTheme="minorHAnsi" w:cstheme="minorHAnsi"/>
          <w:lang w:val="en-US"/>
        </w:rPr>
        <w:t>rt.2</w:t>
      </w:r>
      <w:r w:rsidR="00D7082F">
        <w:rPr>
          <w:rFonts w:asciiTheme="minorHAnsi" w:hAnsiTheme="minorHAnsi" w:cstheme="minorHAnsi"/>
          <w:lang w:val="en-US"/>
        </w:rPr>
        <w:t xml:space="preserve"> ECHR</w:t>
      </w:r>
      <w:r w:rsidR="002C1200" w:rsidRPr="00533D7F">
        <w:rPr>
          <w:rFonts w:asciiTheme="minorHAnsi" w:hAnsiTheme="minorHAnsi" w:cstheme="minorHAnsi"/>
          <w:lang w:val="en-US"/>
        </w:rPr>
        <w:t>)</w:t>
      </w:r>
      <w:r w:rsidR="007F5E00" w:rsidRPr="00533D7F">
        <w:rPr>
          <w:rFonts w:asciiTheme="minorHAnsi" w:hAnsiTheme="minorHAnsi" w:cstheme="minorHAnsi"/>
          <w:lang w:val="en-US"/>
        </w:rPr>
        <w:t xml:space="preserve">, </w:t>
      </w:r>
      <w:r w:rsidR="0056306F" w:rsidRPr="00533D7F">
        <w:rPr>
          <w:rFonts w:asciiTheme="minorHAnsi" w:hAnsiTheme="minorHAnsi" w:cstheme="minorHAnsi"/>
          <w:lang w:val="en-US"/>
        </w:rPr>
        <w:t>and</w:t>
      </w:r>
      <w:r w:rsidR="007F5E00" w:rsidRPr="00533D7F">
        <w:rPr>
          <w:rFonts w:asciiTheme="minorHAnsi" w:hAnsiTheme="minorHAnsi" w:cstheme="minorHAnsi"/>
          <w:lang w:val="en-US"/>
        </w:rPr>
        <w:t xml:space="preserve"> </w:t>
      </w:r>
      <w:r w:rsidR="002C1200" w:rsidRPr="00533D7F">
        <w:rPr>
          <w:rFonts w:asciiTheme="minorHAnsi" w:hAnsiTheme="minorHAnsi" w:cstheme="minorHAnsi"/>
          <w:lang w:val="en-US"/>
        </w:rPr>
        <w:t>the</w:t>
      </w:r>
      <w:r w:rsidR="0056306F" w:rsidRPr="00533D7F">
        <w:rPr>
          <w:rFonts w:asciiTheme="minorHAnsi" w:hAnsiTheme="minorHAnsi" w:cstheme="minorHAnsi"/>
          <w:lang w:val="en-US"/>
        </w:rPr>
        <w:t xml:space="preserve"> right </w:t>
      </w:r>
      <w:r w:rsidR="002C1200" w:rsidRPr="00533D7F">
        <w:rPr>
          <w:rFonts w:asciiTheme="minorHAnsi" w:hAnsiTheme="minorHAnsi" w:cstheme="minorHAnsi"/>
          <w:lang w:val="en-US"/>
        </w:rPr>
        <w:t xml:space="preserve">of the family of the victims </w:t>
      </w:r>
      <w:r w:rsidR="0056306F" w:rsidRPr="00533D7F">
        <w:rPr>
          <w:rFonts w:asciiTheme="minorHAnsi" w:hAnsiTheme="minorHAnsi" w:cstheme="minorHAnsi"/>
          <w:lang w:val="en-US"/>
        </w:rPr>
        <w:t>to an effective remedy (</w:t>
      </w:r>
      <w:r w:rsidR="00BC199B">
        <w:rPr>
          <w:rFonts w:asciiTheme="minorHAnsi" w:hAnsiTheme="minorHAnsi" w:cstheme="minorHAnsi"/>
          <w:lang w:val="en-US"/>
        </w:rPr>
        <w:t>A</w:t>
      </w:r>
      <w:r w:rsidR="0056306F" w:rsidRPr="00533D7F">
        <w:rPr>
          <w:rFonts w:asciiTheme="minorHAnsi" w:hAnsiTheme="minorHAnsi" w:cstheme="minorHAnsi"/>
          <w:lang w:val="en-US"/>
        </w:rPr>
        <w:t>rt. 13</w:t>
      </w:r>
      <w:r w:rsidR="00D7082F">
        <w:rPr>
          <w:rFonts w:asciiTheme="minorHAnsi" w:hAnsiTheme="minorHAnsi" w:cstheme="minorHAnsi"/>
          <w:lang w:val="en-US"/>
        </w:rPr>
        <w:t xml:space="preserve"> ECHR</w:t>
      </w:r>
      <w:r w:rsidR="0056306F" w:rsidRPr="00533D7F">
        <w:rPr>
          <w:rFonts w:asciiTheme="minorHAnsi" w:hAnsiTheme="minorHAnsi" w:cstheme="minorHAnsi"/>
          <w:lang w:val="en-US"/>
        </w:rPr>
        <w:t>) h</w:t>
      </w:r>
      <w:r w:rsidR="00C06937" w:rsidRPr="00533D7F">
        <w:rPr>
          <w:rFonts w:asciiTheme="minorHAnsi" w:hAnsiTheme="minorHAnsi" w:cstheme="minorHAnsi"/>
          <w:lang w:val="en-US"/>
        </w:rPr>
        <w:t>ad</w:t>
      </w:r>
      <w:r w:rsidR="0056306F" w:rsidRPr="00533D7F">
        <w:rPr>
          <w:rFonts w:asciiTheme="minorHAnsi" w:hAnsiTheme="minorHAnsi" w:cstheme="minorHAnsi"/>
          <w:lang w:val="en-US"/>
        </w:rPr>
        <w:t xml:space="preserve"> </w:t>
      </w:r>
      <w:r w:rsidR="006D07C2" w:rsidRPr="00533D7F">
        <w:rPr>
          <w:rFonts w:asciiTheme="minorHAnsi" w:hAnsiTheme="minorHAnsi" w:cstheme="minorHAnsi"/>
          <w:lang w:val="en-US"/>
        </w:rPr>
        <w:t xml:space="preserve">also </w:t>
      </w:r>
      <w:r w:rsidR="0056306F" w:rsidRPr="00533D7F">
        <w:rPr>
          <w:rFonts w:asciiTheme="minorHAnsi" w:hAnsiTheme="minorHAnsi" w:cstheme="minorHAnsi"/>
          <w:lang w:val="en-US"/>
        </w:rPr>
        <w:t xml:space="preserve">been denied. </w:t>
      </w:r>
    </w:p>
    <w:p w14:paraId="03A4CE49" w14:textId="648A7F9D" w:rsidR="006D07C2" w:rsidRPr="00533D7F" w:rsidRDefault="006D07C2" w:rsidP="005E4805">
      <w:pPr>
        <w:jc w:val="both"/>
        <w:rPr>
          <w:rFonts w:asciiTheme="minorHAnsi" w:hAnsiTheme="minorHAnsi" w:cstheme="minorHAnsi"/>
          <w:lang w:val="en-US"/>
        </w:rPr>
      </w:pPr>
    </w:p>
    <w:p w14:paraId="0B08F12C" w14:textId="5FE1B588" w:rsidR="00383E8D" w:rsidRPr="00533D7F" w:rsidRDefault="006D07C2" w:rsidP="00AB0E9A">
      <w:pPr>
        <w:jc w:val="both"/>
        <w:rPr>
          <w:rFonts w:asciiTheme="minorHAnsi" w:hAnsiTheme="minorHAnsi" w:cstheme="minorHAnsi"/>
          <w:lang w:val="en-US"/>
        </w:rPr>
      </w:pPr>
      <w:r w:rsidRPr="00533D7F">
        <w:rPr>
          <w:rFonts w:asciiTheme="minorHAnsi" w:hAnsiTheme="minorHAnsi" w:cstheme="minorHAnsi"/>
          <w:lang w:val="en-US"/>
        </w:rPr>
        <w:t>In its decision, the Court</w:t>
      </w:r>
      <w:r w:rsidR="00263059" w:rsidRPr="00533D7F">
        <w:rPr>
          <w:rFonts w:asciiTheme="minorHAnsi" w:hAnsiTheme="minorHAnsi" w:cstheme="minorHAnsi"/>
          <w:lang w:val="en-US"/>
        </w:rPr>
        <w:t xml:space="preserve"> </w:t>
      </w:r>
      <w:r w:rsidRPr="00533D7F">
        <w:rPr>
          <w:rFonts w:asciiTheme="minorHAnsi" w:hAnsiTheme="minorHAnsi" w:cstheme="minorHAnsi"/>
          <w:lang w:val="en-US"/>
        </w:rPr>
        <w:t xml:space="preserve">started by recalling that </w:t>
      </w:r>
      <w:r w:rsidR="00C06937" w:rsidRPr="00533D7F">
        <w:rPr>
          <w:rFonts w:asciiTheme="minorHAnsi" w:hAnsiTheme="minorHAnsi" w:cstheme="minorHAnsi"/>
          <w:lang w:val="en-US"/>
        </w:rPr>
        <w:t>the obligation to undertake an investigation is normally the responsibility of the authorities under whose jurisdiction the case falls.</w:t>
      </w:r>
      <w:r w:rsidR="00697EB0" w:rsidRPr="00533D7F">
        <w:rPr>
          <w:rFonts w:asciiTheme="minorHAnsi" w:hAnsiTheme="minorHAnsi" w:cstheme="minorHAnsi"/>
          <w:lang w:val="en-US"/>
        </w:rPr>
        <w:t xml:space="preserve"> This situation was thus complicated by the fact that the effective control over the whole territory </w:t>
      </w:r>
      <w:r w:rsidR="00AF75BD">
        <w:rPr>
          <w:rFonts w:asciiTheme="minorHAnsi" w:hAnsiTheme="minorHAnsi" w:cstheme="minorHAnsi"/>
          <w:lang w:val="en-US"/>
        </w:rPr>
        <w:t>was</w:t>
      </w:r>
      <w:r w:rsidR="00697EB0" w:rsidRPr="00533D7F">
        <w:rPr>
          <w:rFonts w:asciiTheme="minorHAnsi" w:hAnsiTheme="minorHAnsi" w:cstheme="minorHAnsi"/>
          <w:lang w:val="en-US"/>
        </w:rPr>
        <w:t xml:space="preserve"> not in the hands of the Cypriot government. </w:t>
      </w:r>
      <w:r w:rsidR="00AB0E9A" w:rsidRPr="00533D7F">
        <w:rPr>
          <w:rFonts w:asciiTheme="minorHAnsi" w:hAnsiTheme="minorHAnsi" w:cstheme="minorHAnsi"/>
          <w:lang w:val="en-US"/>
        </w:rPr>
        <w:t>While it is true that this case was spread across two jurisdictions, namely the Cypriot and Turkish ones,</w:t>
      </w:r>
      <w:r w:rsidR="00AB0E9A" w:rsidRPr="00533D7F">
        <w:rPr>
          <w:rStyle w:val="Appelnotedebasdep"/>
          <w:rFonts w:asciiTheme="minorHAnsi" w:hAnsiTheme="minorHAnsi" w:cstheme="minorHAnsi"/>
          <w:lang w:val="en-US"/>
        </w:rPr>
        <w:footnoteReference w:id="44"/>
      </w:r>
      <w:r w:rsidR="00AB0E9A" w:rsidRPr="00533D7F">
        <w:rPr>
          <w:rFonts w:asciiTheme="minorHAnsi" w:hAnsiTheme="minorHAnsi" w:cstheme="minorHAnsi"/>
          <w:lang w:val="en-US"/>
        </w:rPr>
        <w:t xml:space="preserve"> </w:t>
      </w:r>
      <w:r w:rsidR="00B219BB" w:rsidRPr="00533D7F">
        <w:rPr>
          <w:rFonts w:asciiTheme="minorHAnsi" w:hAnsiTheme="minorHAnsi" w:cstheme="minorHAnsi"/>
          <w:lang w:val="en-US"/>
        </w:rPr>
        <w:t xml:space="preserve">the Court </w:t>
      </w:r>
      <w:r w:rsidR="00697EB0" w:rsidRPr="00533D7F">
        <w:rPr>
          <w:rFonts w:asciiTheme="minorHAnsi" w:hAnsiTheme="minorHAnsi" w:cstheme="minorHAnsi"/>
          <w:lang w:val="en-US"/>
        </w:rPr>
        <w:t xml:space="preserve">nevertheless </w:t>
      </w:r>
      <w:r w:rsidR="00B219BB" w:rsidRPr="00533D7F">
        <w:rPr>
          <w:rFonts w:asciiTheme="minorHAnsi" w:hAnsiTheme="minorHAnsi" w:cstheme="minorHAnsi"/>
          <w:lang w:val="en-US"/>
        </w:rPr>
        <w:t xml:space="preserve">reminded </w:t>
      </w:r>
      <w:r w:rsidR="00697EB0" w:rsidRPr="00533D7F">
        <w:rPr>
          <w:rFonts w:asciiTheme="minorHAnsi" w:hAnsiTheme="minorHAnsi" w:cstheme="minorHAnsi"/>
          <w:lang w:val="en-US"/>
        </w:rPr>
        <w:t>both sides</w:t>
      </w:r>
      <w:r w:rsidR="00B219BB" w:rsidRPr="00533D7F">
        <w:rPr>
          <w:rFonts w:asciiTheme="minorHAnsi" w:hAnsiTheme="minorHAnsi" w:cstheme="minorHAnsi"/>
          <w:lang w:val="en-US"/>
        </w:rPr>
        <w:t xml:space="preserve"> that </w:t>
      </w:r>
      <w:r w:rsidR="00AB0E9A" w:rsidRPr="00533D7F">
        <w:rPr>
          <w:rFonts w:asciiTheme="minorHAnsi" w:hAnsiTheme="minorHAnsi" w:cstheme="minorHAnsi"/>
          <w:lang w:val="en-US"/>
        </w:rPr>
        <w:t xml:space="preserve">the </w:t>
      </w:r>
      <w:r w:rsidRPr="00533D7F">
        <w:rPr>
          <w:rFonts w:asciiTheme="minorHAnsi" w:hAnsiTheme="minorHAnsi" w:cstheme="minorHAnsi"/>
          <w:lang w:val="en-US"/>
        </w:rPr>
        <w:t>trans</w:t>
      </w:r>
      <w:r w:rsidR="00AB0E9A" w:rsidRPr="00533D7F">
        <w:rPr>
          <w:rFonts w:asciiTheme="minorHAnsi" w:hAnsiTheme="minorHAnsi" w:cstheme="minorHAnsi"/>
          <w:lang w:val="en-US"/>
        </w:rPr>
        <w:t>n</w:t>
      </w:r>
      <w:r w:rsidRPr="00533D7F">
        <w:rPr>
          <w:rFonts w:asciiTheme="minorHAnsi" w:hAnsiTheme="minorHAnsi" w:cstheme="minorHAnsi"/>
          <w:lang w:val="en-US"/>
        </w:rPr>
        <w:t xml:space="preserve">ational nature of the case did not absolve </w:t>
      </w:r>
      <w:r w:rsidR="00383E8D" w:rsidRPr="00533D7F">
        <w:rPr>
          <w:rFonts w:asciiTheme="minorHAnsi" w:hAnsiTheme="minorHAnsi" w:cstheme="minorHAnsi"/>
          <w:lang w:val="en-US"/>
        </w:rPr>
        <w:t>any of the</w:t>
      </w:r>
      <w:r w:rsidRPr="00533D7F">
        <w:rPr>
          <w:rFonts w:asciiTheme="minorHAnsi" w:hAnsiTheme="minorHAnsi" w:cstheme="minorHAnsi"/>
          <w:lang w:val="en-US"/>
        </w:rPr>
        <w:t xml:space="preserve"> authorities involved from </w:t>
      </w:r>
      <w:r w:rsidR="00263059" w:rsidRPr="00533D7F">
        <w:rPr>
          <w:rFonts w:asciiTheme="minorHAnsi" w:hAnsiTheme="minorHAnsi" w:cstheme="minorHAnsi"/>
          <w:lang w:val="en-US"/>
        </w:rPr>
        <w:t xml:space="preserve">their duty to </w:t>
      </w:r>
      <w:r w:rsidRPr="00533D7F">
        <w:rPr>
          <w:rFonts w:asciiTheme="minorHAnsi" w:hAnsiTheme="minorHAnsi" w:cstheme="minorHAnsi"/>
          <w:lang w:val="en-US"/>
        </w:rPr>
        <w:t>cooperat</w:t>
      </w:r>
      <w:r w:rsidR="00263059" w:rsidRPr="00533D7F">
        <w:rPr>
          <w:rFonts w:asciiTheme="minorHAnsi" w:hAnsiTheme="minorHAnsi" w:cstheme="minorHAnsi"/>
          <w:lang w:val="en-US"/>
        </w:rPr>
        <w:t>e</w:t>
      </w:r>
      <w:r w:rsidR="00AB0E9A" w:rsidRPr="00533D7F">
        <w:rPr>
          <w:rFonts w:asciiTheme="minorHAnsi" w:hAnsiTheme="minorHAnsi" w:cstheme="minorHAnsi"/>
          <w:lang w:val="en-US"/>
        </w:rPr>
        <w:t xml:space="preserve">. The responsibility and obligations of both parties were thus </w:t>
      </w:r>
      <w:r w:rsidR="005A1C1B" w:rsidRPr="00533D7F">
        <w:rPr>
          <w:rFonts w:asciiTheme="minorHAnsi" w:hAnsiTheme="minorHAnsi" w:cstheme="minorHAnsi"/>
          <w:lang w:val="en-US"/>
        </w:rPr>
        <w:t xml:space="preserve">initially </w:t>
      </w:r>
      <w:r w:rsidR="00AB0E9A" w:rsidRPr="00533D7F">
        <w:rPr>
          <w:rFonts w:asciiTheme="minorHAnsi" w:hAnsiTheme="minorHAnsi" w:cstheme="minorHAnsi"/>
          <w:lang w:val="en-US"/>
        </w:rPr>
        <w:t>engaged.</w:t>
      </w:r>
      <w:r w:rsidR="00AB0E9A" w:rsidRPr="00533D7F">
        <w:rPr>
          <w:rStyle w:val="Appelnotedebasdep"/>
          <w:rFonts w:asciiTheme="minorHAnsi" w:hAnsiTheme="minorHAnsi" w:cstheme="minorHAnsi"/>
          <w:lang w:val="en-US"/>
        </w:rPr>
        <w:footnoteReference w:id="45"/>
      </w:r>
      <w:r w:rsidR="00383E8D" w:rsidRPr="00533D7F">
        <w:rPr>
          <w:rFonts w:asciiTheme="minorHAnsi" w:hAnsiTheme="minorHAnsi" w:cstheme="minorHAnsi"/>
          <w:lang w:val="en-US"/>
        </w:rPr>
        <w:t xml:space="preserve"> The Court noted, in this regard, that when the investigations were being conducted separately</w:t>
      </w:r>
      <w:r w:rsidR="00A42EA2" w:rsidRPr="00533D7F">
        <w:rPr>
          <w:rFonts w:asciiTheme="minorHAnsi" w:hAnsiTheme="minorHAnsi" w:cstheme="minorHAnsi"/>
          <w:lang w:val="en-US"/>
        </w:rPr>
        <w:t xml:space="preserve"> and the suspects identified</w:t>
      </w:r>
      <w:r w:rsidR="00383E8D" w:rsidRPr="00533D7F">
        <w:rPr>
          <w:rFonts w:asciiTheme="minorHAnsi" w:hAnsiTheme="minorHAnsi" w:cstheme="minorHAnsi"/>
          <w:lang w:val="en-US"/>
        </w:rPr>
        <w:t>, both parties</w:t>
      </w:r>
      <w:r w:rsidR="008E448B" w:rsidRPr="00533D7F">
        <w:rPr>
          <w:rFonts w:asciiTheme="minorHAnsi" w:hAnsiTheme="minorHAnsi" w:cstheme="minorHAnsi"/>
          <w:lang w:val="en-US"/>
        </w:rPr>
        <w:t xml:space="preserve"> </w:t>
      </w:r>
      <w:r w:rsidR="002A611B">
        <w:rPr>
          <w:rFonts w:asciiTheme="minorHAnsi" w:hAnsiTheme="minorHAnsi" w:cstheme="minorHAnsi"/>
          <w:lang w:val="en-US"/>
        </w:rPr>
        <w:t xml:space="preserve">were </w:t>
      </w:r>
      <w:r w:rsidR="008E448B" w:rsidRPr="00533D7F">
        <w:rPr>
          <w:rFonts w:asciiTheme="minorHAnsi" w:hAnsiTheme="minorHAnsi" w:cstheme="minorHAnsi"/>
          <w:lang w:val="en-US"/>
        </w:rPr>
        <w:t>actually</w:t>
      </w:r>
      <w:r w:rsidR="00383E8D" w:rsidRPr="00533D7F">
        <w:rPr>
          <w:rFonts w:asciiTheme="minorHAnsi" w:hAnsiTheme="minorHAnsi" w:cstheme="minorHAnsi"/>
          <w:lang w:val="en-US"/>
        </w:rPr>
        <w:t xml:space="preserve"> fulfill</w:t>
      </w:r>
      <w:r w:rsidR="002A611B">
        <w:rPr>
          <w:rFonts w:asciiTheme="minorHAnsi" w:hAnsiTheme="minorHAnsi" w:cstheme="minorHAnsi"/>
          <w:lang w:val="en-US"/>
        </w:rPr>
        <w:t>ing</w:t>
      </w:r>
      <w:r w:rsidR="00383E8D" w:rsidRPr="00533D7F">
        <w:rPr>
          <w:rFonts w:asciiTheme="minorHAnsi" w:hAnsiTheme="minorHAnsi" w:cstheme="minorHAnsi"/>
          <w:lang w:val="en-US"/>
        </w:rPr>
        <w:t xml:space="preserve"> their obligation under </w:t>
      </w:r>
      <w:r w:rsidR="00BC199B">
        <w:rPr>
          <w:rFonts w:asciiTheme="minorHAnsi" w:hAnsiTheme="minorHAnsi" w:cstheme="minorHAnsi"/>
          <w:lang w:val="en-US"/>
        </w:rPr>
        <w:t>A</w:t>
      </w:r>
      <w:r w:rsidR="00383E8D" w:rsidRPr="00533D7F">
        <w:rPr>
          <w:rFonts w:asciiTheme="minorHAnsi" w:hAnsiTheme="minorHAnsi" w:cstheme="minorHAnsi"/>
          <w:lang w:val="en-US"/>
        </w:rPr>
        <w:t xml:space="preserve">rticle 2 of the Convention. </w:t>
      </w:r>
    </w:p>
    <w:p w14:paraId="004B22A2" w14:textId="6B7716A5" w:rsidR="006D07C2" w:rsidRPr="00533D7F" w:rsidRDefault="006D07C2" w:rsidP="00AB0E9A">
      <w:pPr>
        <w:jc w:val="both"/>
        <w:rPr>
          <w:rFonts w:asciiTheme="minorHAnsi" w:hAnsiTheme="minorHAnsi" w:cstheme="minorHAnsi"/>
          <w:lang w:val="en-US"/>
        </w:rPr>
      </w:pPr>
    </w:p>
    <w:p w14:paraId="2567F99A" w14:textId="70FE0216" w:rsidR="005A1C1B" w:rsidRPr="00533D7F" w:rsidRDefault="00383E8D" w:rsidP="00AB0E9A">
      <w:pPr>
        <w:jc w:val="both"/>
        <w:rPr>
          <w:rFonts w:asciiTheme="minorHAnsi" w:hAnsiTheme="minorHAnsi" w:cstheme="minorHAnsi"/>
          <w:lang w:val="en-US"/>
        </w:rPr>
      </w:pPr>
      <w:r w:rsidRPr="00533D7F">
        <w:rPr>
          <w:rFonts w:asciiTheme="minorHAnsi" w:hAnsiTheme="minorHAnsi" w:cstheme="minorHAnsi"/>
          <w:lang w:val="en-US"/>
        </w:rPr>
        <w:t xml:space="preserve">The violation, </w:t>
      </w:r>
      <w:r w:rsidR="005A1C1B" w:rsidRPr="00533D7F">
        <w:rPr>
          <w:rFonts w:asciiTheme="minorHAnsi" w:hAnsiTheme="minorHAnsi" w:cstheme="minorHAnsi"/>
          <w:lang w:val="en-US"/>
        </w:rPr>
        <w:t>as aforesaid</w:t>
      </w:r>
      <w:r w:rsidRPr="00533D7F">
        <w:rPr>
          <w:rFonts w:asciiTheme="minorHAnsi" w:hAnsiTheme="minorHAnsi" w:cstheme="minorHAnsi"/>
          <w:lang w:val="en-US"/>
        </w:rPr>
        <w:t xml:space="preserve">, started when both sides obstinately refused to cooperate, leaving what </w:t>
      </w:r>
      <w:r w:rsidR="003C0682" w:rsidRPr="00533D7F">
        <w:rPr>
          <w:rFonts w:asciiTheme="minorHAnsi" w:hAnsiTheme="minorHAnsi" w:cstheme="minorHAnsi"/>
          <w:lang w:val="en-US"/>
        </w:rPr>
        <w:t>the Court</w:t>
      </w:r>
      <w:r w:rsidRPr="00533D7F">
        <w:rPr>
          <w:rFonts w:asciiTheme="minorHAnsi" w:hAnsiTheme="minorHAnsi" w:cstheme="minorHAnsi"/>
          <w:lang w:val="en-US"/>
        </w:rPr>
        <w:t xml:space="preserve"> </w:t>
      </w:r>
      <w:r w:rsidR="00173CF5" w:rsidRPr="00533D7F">
        <w:rPr>
          <w:rFonts w:asciiTheme="minorHAnsi" w:hAnsiTheme="minorHAnsi" w:cstheme="minorHAnsi"/>
          <w:lang w:val="en-US"/>
        </w:rPr>
        <w:t xml:space="preserve">called a rather </w:t>
      </w:r>
      <w:r w:rsidR="002F04F3" w:rsidRPr="00533D7F">
        <w:rPr>
          <w:rFonts w:asciiTheme="minorHAnsi" w:hAnsiTheme="minorHAnsi" w:cstheme="minorHAnsi"/>
          <w:lang w:val="en-US"/>
        </w:rPr>
        <w:t>‘</w:t>
      </w:r>
      <w:r w:rsidRPr="00533D7F">
        <w:rPr>
          <w:rFonts w:asciiTheme="minorHAnsi" w:hAnsiTheme="minorHAnsi" w:cstheme="minorHAnsi"/>
          <w:lang w:val="en-US"/>
        </w:rPr>
        <w:t>straightforward case</w:t>
      </w:r>
      <w:r w:rsidR="002F04F3" w:rsidRPr="00533D7F">
        <w:rPr>
          <w:rFonts w:asciiTheme="minorHAnsi" w:hAnsiTheme="minorHAnsi" w:cstheme="minorHAnsi"/>
          <w:lang w:val="en-US"/>
        </w:rPr>
        <w:t>’</w:t>
      </w:r>
      <w:r w:rsidRPr="00533D7F">
        <w:rPr>
          <w:rFonts w:asciiTheme="minorHAnsi" w:hAnsiTheme="minorHAnsi" w:cstheme="minorHAnsi"/>
          <w:lang w:val="en-US"/>
        </w:rPr>
        <w:t xml:space="preserve"> to </w:t>
      </w:r>
      <w:r w:rsidR="00173CF5" w:rsidRPr="00533D7F">
        <w:rPr>
          <w:rFonts w:asciiTheme="minorHAnsi" w:hAnsiTheme="minorHAnsi" w:cstheme="minorHAnsi"/>
          <w:lang w:val="en-US"/>
        </w:rPr>
        <w:t>remain</w:t>
      </w:r>
      <w:r w:rsidRPr="00533D7F">
        <w:rPr>
          <w:rFonts w:asciiTheme="minorHAnsi" w:hAnsiTheme="minorHAnsi" w:cstheme="minorHAnsi"/>
          <w:lang w:val="en-US"/>
        </w:rPr>
        <w:t xml:space="preserve"> open</w:t>
      </w:r>
      <w:r w:rsidR="00173CF5" w:rsidRPr="00533D7F">
        <w:rPr>
          <w:rFonts w:asciiTheme="minorHAnsi" w:hAnsiTheme="minorHAnsi" w:cstheme="minorHAnsi"/>
          <w:lang w:val="en-US"/>
        </w:rPr>
        <w:t xml:space="preserve"> and unsolved</w:t>
      </w:r>
      <w:r w:rsidRPr="00533D7F">
        <w:rPr>
          <w:rFonts w:asciiTheme="minorHAnsi" w:hAnsiTheme="minorHAnsi" w:cstheme="minorHAnsi"/>
          <w:lang w:val="en-US"/>
        </w:rPr>
        <w:t xml:space="preserve"> </w:t>
      </w:r>
      <w:r w:rsidR="00173CF5" w:rsidRPr="00533D7F">
        <w:rPr>
          <w:rFonts w:asciiTheme="minorHAnsi" w:hAnsiTheme="minorHAnsi" w:cstheme="minorHAnsi"/>
          <w:lang w:val="en-US"/>
        </w:rPr>
        <w:t>since 2005</w:t>
      </w:r>
      <w:r w:rsidRPr="00533D7F">
        <w:rPr>
          <w:rFonts w:asciiTheme="minorHAnsi" w:hAnsiTheme="minorHAnsi" w:cstheme="minorHAnsi"/>
          <w:lang w:val="en-US"/>
        </w:rPr>
        <w:t>.</w:t>
      </w:r>
      <w:r w:rsidRPr="00533D7F">
        <w:rPr>
          <w:rStyle w:val="Appelnotedebasdep"/>
          <w:rFonts w:asciiTheme="minorHAnsi" w:hAnsiTheme="minorHAnsi" w:cstheme="minorHAnsi"/>
          <w:lang w:val="en-US"/>
        </w:rPr>
        <w:footnoteReference w:id="46"/>
      </w:r>
      <w:r w:rsidR="00173CF5" w:rsidRPr="00533D7F">
        <w:rPr>
          <w:rFonts w:asciiTheme="minorHAnsi" w:hAnsiTheme="minorHAnsi" w:cstheme="minorHAnsi"/>
          <w:lang w:val="en-US"/>
        </w:rPr>
        <w:t xml:space="preserve"> This failure to collaborate </w:t>
      </w:r>
      <w:r w:rsidR="002F04F3" w:rsidRPr="00533D7F">
        <w:rPr>
          <w:rFonts w:asciiTheme="minorHAnsi" w:hAnsiTheme="minorHAnsi" w:cstheme="minorHAnsi"/>
          <w:lang w:val="en-US"/>
        </w:rPr>
        <w:t>wa</w:t>
      </w:r>
      <w:r w:rsidR="00173CF5" w:rsidRPr="00533D7F">
        <w:rPr>
          <w:rFonts w:asciiTheme="minorHAnsi" w:hAnsiTheme="minorHAnsi" w:cstheme="minorHAnsi"/>
          <w:lang w:val="en-US"/>
        </w:rPr>
        <w:t>s, according to the Court, all the more shocking that the UNFICYP not only offered its mediation to help the cooperation, but actually tried to provide practical solutions</w:t>
      </w:r>
      <w:r w:rsidR="007145A8">
        <w:rPr>
          <w:rFonts w:asciiTheme="minorHAnsi" w:hAnsiTheme="minorHAnsi" w:cstheme="minorHAnsi"/>
          <w:lang w:val="en-US"/>
        </w:rPr>
        <w:t>.</w:t>
      </w:r>
      <w:r w:rsidR="001A437C" w:rsidRPr="00533D7F">
        <w:rPr>
          <w:rFonts w:asciiTheme="minorHAnsi" w:hAnsiTheme="minorHAnsi" w:cstheme="minorHAnsi"/>
          <w:lang w:val="en-US"/>
        </w:rPr>
        <w:t xml:space="preserve"> </w:t>
      </w:r>
      <w:r w:rsidR="00B2739C">
        <w:rPr>
          <w:rFonts w:asciiTheme="minorHAnsi" w:hAnsiTheme="minorHAnsi" w:cstheme="minorHAnsi"/>
          <w:lang w:val="en-US"/>
        </w:rPr>
        <w:t>The proposed solutions</w:t>
      </w:r>
      <w:r w:rsidR="00173CF5" w:rsidRPr="00533D7F">
        <w:rPr>
          <w:rFonts w:asciiTheme="minorHAnsi" w:hAnsiTheme="minorHAnsi" w:cstheme="minorHAnsi"/>
          <w:lang w:val="en-US"/>
        </w:rPr>
        <w:t xml:space="preserve"> required</w:t>
      </w:r>
      <w:r w:rsidR="003C0682" w:rsidRPr="00533D7F">
        <w:rPr>
          <w:rFonts w:asciiTheme="minorHAnsi" w:hAnsiTheme="minorHAnsi" w:cstheme="minorHAnsi"/>
          <w:lang w:val="en-US"/>
        </w:rPr>
        <w:t>, however,</w:t>
      </w:r>
      <w:r w:rsidR="00173CF5" w:rsidRPr="00533D7F">
        <w:rPr>
          <w:rFonts w:asciiTheme="minorHAnsi" w:hAnsiTheme="minorHAnsi" w:cstheme="minorHAnsi"/>
          <w:lang w:val="en-US"/>
        </w:rPr>
        <w:t xml:space="preserve"> both sides to meet each other half-way</w:t>
      </w:r>
      <w:r w:rsidR="009E3E37" w:rsidRPr="00533D7F">
        <w:rPr>
          <w:rFonts w:asciiTheme="minorHAnsi" w:hAnsiTheme="minorHAnsi" w:cstheme="minorHAnsi"/>
          <w:lang w:val="en-US"/>
        </w:rPr>
        <w:t xml:space="preserve">. </w:t>
      </w:r>
      <w:r w:rsidR="005A1C1B" w:rsidRPr="00533D7F">
        <w:rPr>
          <w:rFonts w:asciiTheme="minorHAnsi" w:hAnsiTheme="minorHAnsi" w:cstheme="minorHAnsi"/>
          <w:lang w:val="en-US"/>
        </w:rPr>
        <w:t xml:space="preserve">Because all </w:t>
      </w:r>
      <w:r w:rsidR="009E3E37" w:rsidRPr="00533D7F">
        <w:rPr>
          <w:rFonts w:asciiTheme="minorHAnsi" w:hAnsiTheme="minorHAnsi" w:cstheme="minorHAnsi"/>
          <w:lang w:val="en-US"/>
        </w:rPr>
        <w:t xml:space="preserve">suggestions were turned down and </w:t>
      </w:r>
      <w:r w:rsidR="00B2739C">
        <w:rPr>
          <w:rFonts w:asciiTheme="minorHAnsi" w:hAnsiTheme="minorHAnsi" w:cstheme="minorHAnsi"/>
          <w:lang w:val="en-US"/>
        </w:rPr>
        <w:t>as neither side ma</w:t>
      </w:r>
      <w:r w:rsidR="00AF75BD">
        <w:rPr>
          <w:rFonts w:asciiTheme="minorHAnsi" w:hAnsiTheme="minorHAnsi" w:cstheme="minorHAnsi"/>
          <w:lang w:val="en-US"/>
        </w:rPr>
        <w:t>de</w:t>
      </w:r>
      <w:r w:rsidR="00B2739C">
        <w:rPr>
          <w:rFonts w:asciiTheme="minorHAnsi" w:hAnsiTheme="minorHAnsi" w:cstheme="minorHAnsi"/>
          <w:lang w:val="en-US"/>
        </w:rPr>
        <w:t xml:space="preserve"> any</w:t>
      </w:r>
      <w:r w:rsidR="009E3E37" w:rsidRPr="00533D7F">
        <w:rPr>
          <w:rFonts w:asciiTheme="minorHAnsi" w:hAnsiTheme="minorHAnsi" w:cstheme="minorHAnsi"/>
          <w:lang w:val="en-US"/>
        </w:rPr>
        <w:t xml:space="preserve"> compromi</w:t>
      </w:r>
      <w:r w:rsidR="00B2739C">
        <w:rPr>
          <w:rFonts w:asciiTheme="minorHAnsi" w:hAnsiTheme="minorHAnsi" w:cstheme="minorHAnsi"/>
          <w:lang w:val="en-US"/>
        </w:rPr>
        <w:t>se,</w:t>
      </w:r>
      <w:r w:rsidR="0032041F" w:rsidRPr="00533D7F">
        <w:rPr>
          <w:rFonts w:asciiTheme="minorHAnsi" w:hAnsiTheme="minorHAnsi" w:cstheme="minorHAnsi"/>
          <w:lang w:val="en-US"/>
        </w:rPr>
        <w:t xml:space="preserve"> all suspects </w:t>
      </w:r>
      <w:r w:rsidR="0054761D">
        <w:rPr>
          <w:rFonts w:asciiTheme="minorHAnsi" w:hAnsiTheme="minorHAnsi" w:cstheme="minorHAnsi"/>
          <w:lang w:val="en-US"/>
        </w:rPr>
        <w:t xml:space="preserve">were </w:t>
      </w:r>
      <w:r w:rsidR="0032041F" w:rsidRPr="00533D7F">
        <w:rPr>
          <w:rFonts w:asciiTheme="minorHAnsi" w:hAnsiTheme="minorHAnsi" w:cstheme="minorHAnsi"/>
          <w:lang w:val="en-US"/>
        </w:rPr>
        <w:t>released.</w:t>
      </w:r>
      <w:r w:rsidR="0032041F" w:rsidRPr="00533D7F">
        <w:rPr>
          <w:rStyle w:val="Appelnotedebasdep"/>
          <w:rFonts w:asciiTheme="minorHAnsi" w:hAnsiTheme="minorHAnsi" w:cstheme="minorHAnsi"/>
          <w:lang w:val="en-US"/>
        </w:rPr>
        <w:footnoteReference w:id="47"/>
      </w:r>
    </w:p>
    <w:p w14:paraId="333CBD72" w14:textId="77777777" w:rsidR="005A1C1B" w:rsidRPr="00533D7F" w:rsidRDefault="005A1C1B" w:rsidP="00AB0E9A">
      <w:pPr>
        <w:jc w:val="both"/>
        <w:rPr>
          <w:rFonts w:asciiTheme="minorHAnsi" w:hAnsiTheme="minorHAnsi" w:cstheme="minorHAnsi"/>
          <w:lang w:val="en-US"/>
        </w:rPr>
      </w:pPr>
    </w:p>
    <w:p w14:paraId="52ACAD5A" w14:textId="5BA30478" w:rsidR="00383E8D" w:rsidRPr="00533D7F" w:rsidRDefault="000304D2" w:rsidP="006C7C3A">
      <w:pPr>
        <w:jc w:val="both"/>
        <w:rPr>
          <w:rFonts w:asciiTheme="minorHAnsi" w:hAnsiTheme="minorHAnsi" w:cstheme="minorHAnsi"/>
          <w:color w:val="000000" w:themeColor="text1"/>
          <w:lang w:val="en-US"/>
        </w:rPr>
      </w:pPr>
      <w:r w:rsidRPr="00533D7F">
        <w:rPr>
          <w:rFonts w:asciiTheme="minorHAnsi" w:hAnsiTheme="minorHAnsi" w:cstheme="minorHAnsi"/>
          <w:lang w:val="en-US"/>
        </w:rPr>
        <w:t>In light of the above, the</w:t>
      </w:r>
      <w:r w:rsidR="0032041F" w:rsidRPr="00533D7F">
        <w:rPr>
          <w:rFonts w:asciiTheme="minorHAnsi" w:hAnsiTheme="minorHAnsi" w:cstheme="minorHAnsi"/>
          <w:lang w:val="en-US"/>
        </w:rPr>
        <w:t xml:space="preserve"> </w:t>
      </w:r>
      <w:r w:rsidR="00516195" w:rsidRPr="00533D7F">
        <w:rPr>
          <w:rFonts w:asciiTheme="minorHAnsi" w:hAnsiTheme="minorHAnsi" w:cstheme="minorHAnsi"/>
          <w:lang w:val="en-US"/>
        </w:rPr>
        <w:t>Chamber</w:t>
      </w:r>
      <w:r w:rsidR="002F04F3" w:rsidRPr="00533D7F">
        <w:rPr>
          <w:rFonts w:asciiTheme="minorHAnsi" w:hAnsiTheme="minorHAnsi" w:cstheme="minorHAnsi"/>
          <w:lang w:val="en-US"/>
        </w:rPr>
        <w:t xml:space="preserve"> initially</w:t>
      </w:r>
      <w:r w:rsidR="0032041F" w:rsidRPr="00533D7F">
        <w:rPr>
          <w:rFonts w:asciiTheme="minorHAnsi" w:hAnsiTheme="minorHAnsi" w:cstheme="minorHAnsi"/>
          <w:lang w:val="en-US"/>
        </w:rPr>
        <w:t xml:space="preserve"> found both Cyprus and Turkey in </w:t>
      </w:r>
      <w:r w:rsidR="00D220DE" w:rsidRPr="00533D7F">
        <w:rPr>
          <w:rFonts w:asciiTheme="minorHAnsi" w:hAnsiTheme="minorHAnsi" w:cstheme="minorHAnsi"/>
          <w:lang w:val="en-US"/>
        </w:rPr>
        <w:t>breach of their procedural obligation under Article 2</w:t>
      </w:r>
      <w:r w:rsidR="00DF3FB4">
        <w:rPr>
          <w:rFonts w:asciiTheme="minorHAnsi" w:hAnsiTheme="minorHAnsi" w:cstheme="minorHAnsi"/>
          <w:lang w:val="en-US"/>
        </w:rPr>
        <w:t xml:space="preserve"> (right to life)</w:t>
      </w:r>
      <w:r w:rsidR="00D220DE" w:rsidRPr="00533D7F">
        <w:rPr>
          <w:rFonts w:asciiTheme="minorHAnsi" w:hAnsiTheme="minorHAnsi" w:cstheme="minorHAnsi"/>
          <w:lang w:val="en-US"/>
        </w:rPr>
        <w:t xml:space="preserve"> but also</w:t>
      </w:r>
      <w:r w:rsidR="001022E0" w:rsidRPr="00533D7F">
        <w:rPr>
          <w:rFonts w:asciiTheme="minorHAnsi" w:hAnsiTheme="minorHAnsi" w:cstheme="minorHAnsi"/>
          <w:lang w:val="en-US"/>
        </w:rPr>
        <w:t xml:space="preserve"> </w:t>
      </w:r>
      <w:r w:rsidR="00D220DE" w:rsidRPr="00533D7F">
        <w:rPr>
          <w:rFonts w:asciiTheme="minorHAnsi" w:hAnsiTheme="minorHAnsi" w:cstheme="minorHAnsi"/>
          <w:lang w:val="en-US"/>
        </w:rPr>
        <w:t xml:space="preserve">of Article 13 </w:t>
      </w:r>
      <w:r w:rsidR="00DF3FB4">
        <w:rPr>
          <w:rFonts w:asciiTheme="minorHAnsi" w:hAnsiTheme="minorHAnsi" w:cstheme="minorHAnsi"/>
          <w:lang w:val="en-US"/>
        </w:rPr>
        <w:t xml:space="preserve">(right to an effective remedy) </w:t>
      </w:r>
      <w:r w:rsidR="00D220DE" w:rsidRPr="00533D7F">
        <w:rPr>
          <w:rFonts w:asciiTheme="minorHAnsi" w:hAnsiTheme="minorHAnsi" w:cstheme="minorHAnsi"/>
          <w:lang w:val="en-US"/>
        </w:rPr>
        <w:t>taken in conjunction with Article</w:t>
      </w:r>
      <w:r w:rsidR="00E14799" w:rsidRPr="00533D7F">
        <w:rPr>
          <w:rFonts w:asciiTheme="minorHAnsi" w:hAnsiTheme="minorHAnsi" w:cstheme="minorHAnsi"/>
          <w:lang w:val="en-US"/>
        </w:rPr>
        <w:t> </w:t>
      </w:r>
      <w:r w:rsidR="00D220DE" w:rsidRPr="00533D7F">
        <w:rPr>
          <w:rFonts w:asciiTheme="minorHAnsi" w:hAnsiTheme="minorHAnsi" w:cstheme="minorHAnsi"/>
          <w:lang w:val="en-US"/>
        </w:rPr>
        <w:t>2.</w:t>
      </w:r>
      <w:r w:rsidR="00D220DE" w:rsidRPr="00533D7F">
        <w:rPr>
          <w:rStyle w:val="Appelnotedebasdep"/>
          <w:rFonts w:asciiTheme="minorHAnsi" w:hAnsiTheme="minorHAnsi" w:cstheme="minorHAnsi"/>
          <w:lang w:val="en-US"/>
        </w:rPr>
        <w:footnoteReference w:id="48"/>
      </w:r>
      <w:r w:rsidR="00516195" w:rsidRPr="00533D7F">
        <w:rPr>
          <w:rFonts w:asciiTheme="minorHAnsi" w:hAnsiTheme="minorHAnsi" w:cstheme="minorHAnsi"/>
          <w:lang w:val="en-US"/>
        </w:rPr>
        <w:t xml:space="preserve"> The Grand Chamber, however, went another way and ruled that </w:t>
      </w:r>
      <w:r w:rsidR="00BC199B">
        <w:rPr>
          <w:rFonts w:asciiTheme="minorHAnsi" w:hAnsiTheme="minorHAnsi" w:cstheme="minorHAnsi"/>
          <w:lang w:val="en-US"/>
        </w:rPr>
        <w:t xml:space="preserve">the </w:t>
      </w:r>
      <w:r w:rsidR="00516195" w:rsidRPr="00533D7F">
        <w:rPr>
          <w:rFonts w:asciiTheme="minorHAnsi" w:hAnsiTheme="minorHAnsi" w:cstheme="minorHAnsi"/>
          <w:lang w:val="en-US"/>
        </w:rPr>
        <w:t>Cypriot authorities, by sending an extradition request that ha</w:t>
      </w:r>
      <w:r w:rsidR="004F0145">
        <w:rPr>
          <w:rFonts w:asciiTheme="minorHAnsi" w:hAnsiTheme="minorHAnsi" w:cstheme="minorHAnsi"/>
          <w:lang w:val="en-US"/>
        </w:rPr>
        <w:t>d</w:t>
      </w:r>
      <w:r w:rsidR="00516195" w:rsidRPr="00533D7F">
        <w:rPr>
          <w:rFonts w:asciiTheme="minorHAnsi" w:hAnsiTheme="minorHAnsi" w:cstheme="minorHAnsi"/>
          <w:lang w:val="en-US"/>
        </w:rPr>
        <w:t xml:space="preserve"> been denied, had done everything that could be reasonably expected from them, while it</w:t>
      </w:r>
      <w:r w:rsidR="005F09EC" w:rsidRPr="00533D7F">
        <w:rPr>
          <w:rFonts w:asciiTheme="minorHAnsi" w:hAnsiTheme="minorHAnsi" w:cstheme="minorHAnsi"/>
          <w:lang w:val="en-US"/>
        </w:rPr>
        <w:t xml:space="preserve"> also</w:t>
      </w:r>
      <w:r w:rsidR="00516195" w:rsidRPr="00533D7F">
        <w:rPr>
          <w:rFonts w:asciiTheme="minorHAnsi" w:hAnsiTheme="minorHAnsi" w:cstheme="minorHAnsi"/>
          <w:lang w:val="en-US"/>
        </w:rPr>
        <w:t xml:space="preserve"> understood that, in the context </w:t>
      </w:r>
      <w:r w:rsidR="00D84120" w:rsidRPr="00533D7F">
        <w:rPr>
          <w:rFonts w:asciiTheme="minorHAnsi" w:hAnsiTheme="minorHAnsi" w:cstheme="minorHAnsi"/>
          <w:lang w:val="en-US"/>
        </w:rPr>
        <w:t xml:space="preserve">of </w:t>
      </w:r>
      <w:r w:rsidR="00516195" w:rsidRPr="00533D7F">
        <w:rPr>
          <w:rFonts w:asciiTheme="minorHAnsi" w:hAnsiTheme="minorHAnsi" w:cstheme="minorHAnsi"/>
          <w:lang w:val="en-US"/>
        </w:rPr>
        <w:t xml:space="preserve">the frozen conflict between Cyprus and Turkey, </w:t>
      </w:r>
      <w:r w:rsidR="006E1899" w:rsidRPr="00533D7F">
        <w:rPr>
          <w:rFonts w:asciiTheme="minorHAnsi" w:hAnsiTheme="minorHAnsi" w:cstheme="minorHAnsi"/>
          <w:lang w:val="en-US"/>
        </w:rPr>
        <w:t>expecting</w:t>
      </w:r>
      <w:r w:rsidR="00516195" w:rsidRPr="00533D7F">
        <w:rPr>
          <w:rFonts w:asciiTheme="minorHAnsi" w:hAnsiTheme="minorHAnsi" w:cstheme="minorHAnsi"/>
          <w:lang w:val="en-US"/>
        </w:rPr>
        <w:t xml:space="preserve"> </w:t>
      </w:r>
      <w:r w:rsidR="00516195" w:rsidRPr="00533D7F">
        <w:rPr>
          <w:rFonts w:asciiTheme="minorHAnsi" w:hAnsiTheme="minorHAnsi" w:cstheme="minorHAnsi"/>
          <w:lang w:val="en-US"/>
        </w:rPr>
        <w:lastRenderedPageBreak/>
        <w:t xml:space="preserve">Cypriot authorities to </w:t>
      </w:r>
      <w:proofErr w:type="spellStart"/>
      <w:r w:rsidR="00516195" w:rsidRPr="00533D7F">
        <w:rPr>
          <w:rFonts w:asciiTheme="minorHAnsi" w:hAnsiTheme="minorHAnsi" w:cstheme="minorHAnsi"/>
          <w:lang w:val="en-US"/>
        </w:rPr>
        <w:t>recognise</w:t>
      </w:r>
      <w:proofErr w:type="spellEnd"/>
      <w:r w:rsidR="00516195" w:rsidRPr="00533D7F">
        <w:rPr>
          <w:rFonts w:asciiTheme="minorHAnsi" w:hAnsiTheme="minorHAnsi" w:cstheme="minorHAnsi"/>
          <w:lang w:val="en-US"/>
        </w:rPr>
        <w:t xml:space="preserve"> a request from the ‘TRNC’ for mutual legal assistance would </w:t>
      </w:r>
      <w:r w:rsidR="00421F73" w:rsidRPr="00533D7F">
        <w:rPr>
          <w:rFonts w:asciiTheme="minorHAnsi" w:hAnsiTheme="minorHAnsi" w:cstheme="minorHAnsi"/>
          <w:lang w:val="en-US"/>
        </w:rPr>
        <w:t xml:space="preserve">have </w:t>
      </w:r>
      <w:r w:rsidR="00516195" w:rsidRPr="00533D7F">
        <w:rPr>
          <w:rFonts w:asciiTheme="minorHAnsi" w:hAnsiTheme="minorHAnsi" w:cstheme="minorHAnsi"/>
          <w:lang w:val="en-US"/>
        </w:rPr>
        <w:t>take</w:t>
      </w:r>
      <w:r w:rsidR="00421F73" w:rsidRPr="00533D7F">
        <w:rPr>
          <w:rFonts w:asciiTheme="minorHAnsi" w:hAnsiTheme="minorHAnsi" w:cstheme="minorHAnsi"/>
          <w:lang w:val="en-US"/>
        </w:rPr>
        <w:t>n</w:t>
      </w:r>
      <w:r w:rsidR="00516195" w:rsidRPr="00533D7F">
        <w:rPr>
          <w:rFonts w:asciiTheme="minorHAnsi" w:hAnsiTheme="minorHAnsi" w:cstheme="minorHAnsi"/>
          <w:lang w:val="en-US"/>
        </w:rPr>
        <w:t xml:space="preserve"> them too far down the path of </w:t>
      </w:r>
      <w:proofErr w:type="spellStart"/>
      <w:r w:rsidR="00AF75BD">
        <w:rPr>
          <w:rFonts w:asciiTheme="minorHAnsi" w:hAnsiTheme="minorHAnsi" w:cstheme="minorHAnsi"/>
          <w:lang w:val="en-US"/>
        </w:rPr>
        <w:t>recognising</w:t>
      </w:r>
      <w:proofErr w:type="spellEnd"/>
      <w:r w:rsidR="00AF75BD">
        <w:rPr>
          <w:rFonts w:asciiTheme="minorHAnsi" w:hAnsiTheme="minorHAnsi" w:cstheme="minorHAnsi"/>
          <w:lang w:val="en-US"/>
        </w:rPr>
        <w:t xml:space="preserve"> </w:t>
      </w:r>
      <w:r w:rsidR="00516195" w:rsidRPr="00533D7F">
        <w:rPr>
          <w:rFonts w:asciiTheme="minorHAnsi" w:hAnsiTheme="minorHAnsi" w:cstheme="minorHAnsi"/>
          <w:lang w:val="en-US"/>
        </w:rPr>
        <w:t>the ‘TRNC’ authorities</w:t>
      </w:r>
      <w:r w:rsidR="0054761D">
        <w:rPr>
          <w:rFonts w:asciiTheme="minorHAnsi" w:hAnsiTheme="minorHAnsi" w:cstheme="minorHAnsi"/>
          <w:lang w:val="en-US"/>
        </w:rPr>
        <w:t>.</w:t>
      </w:r>
      <w:r w:rsidR="007C7565" w:rsidRPr="00533D7F">
        <w:rPr>
          <w:rFonts w:asciiTheme="minorHAnsi" w:hAnsiTheme="minorHAnsi" w:cstheme="minorHAnsi"/>
          <w:lang w:val="en-US"/>
        </w:rPr>
        <w:t xml:space="preserve"> </w:t>
      </w:r>
      <w:r w:rsidR="0054761D">
        <w:rPr>
          <w:rFonts w:asciiTheme="minorHAnsi" w:hAnsiTheme="minorHAnsi" w:cstheme="minorHAnsi"/>
          <w:lang w:val="en-US"/>
        </w:rPr>
        <w:t>I</w:t>
      </w:r>
      <w:r w:rsidR="007C7565" w:rsidRPr="00533D7F">
        <w:rPr>
          <w:rFonts w:asciiTheme="minorHAnsi" w:hAnsiTheme="minorHAnsi" w:cstheme="minorHAnsi"/>
          <w:lang w:val="en-US"/>
        </w:rPr>
        <w:t xml:space="preserve">f Cyprus had </w:t>
      </w:r>
      <w:r w:rsidR="003B7ABD" w:rsidRPr="00533D7F">
        <w:rPr>
          <w:rFonts w:asciiTheme="minorHAnsi" w:hAnsiTheme="minorHAnsi" w:cstheme="minorHAnsi"/>
          <w:lang w:val="en-US"/>
        </w:rPr>
        <w:t xml:space="preserve">indeed </w:t>
      </w:r>
      <w:r w:rsidR="007C7565" w:rsidRPr="00533D7F">
        <w:rPr>
          <w:rFonts w:asciiTheme="minorHAnsi" w:hAnsiTheme="minorHAnsi" w:cstheme="minorHAnsi"/>
          <w:lang w:val="en-US"/>
        </w:rPr>
        <w:t>answered to the request of the ‘TRNC’, it would have in fact</w:t>
      </w:r>
      <w:r w:rsidR="003B7ABD" w:rsidRPr="00533D7F">
        <w:rPr>
          <w:rFonts w:asciiTheme="minorHAnsi" w:hAnsiTheme="minorHAnsi" w:cstheme="minorHAnsi"/>
          <w:lang w:val="en-US"/>
        </w:rPr>
        <w:t xml:space="preserve"> meant that the latter had</w:t>
      </w:r>
      <w:r w:rsidR="007C7565" w:rsidRPr="00533D7F">
        <w:rPr>
          <w:rFonts w:asciiTheme="minorHAnsi" w:hAnsiTheme="minorHAnsi" w:cstheme="minorHAnsi"/>
          <w:lang w:val="en-US"/>
        </w:rPr>
        <w:t xml:space="preserve"> waived its “</w:t>
      </w:r>
      <w:r w:rsidR="007C7565" w:rsidRPr="00533D7F">
        <w:rPr>
          <w:rFonts w:asciiTheme="minorHAnsi" w:eastAsiaTheme="minorHAnsi" w:hAnsiTheme="minorHAnsi" w:cstheme="minorHAnsi"/>
          <w:lang w:val="en-US" w:eastAsia="en-US"/>
        </w:rPr>
        <w:t xml:space="preserve">criminal jurisdiction in </w:t>
      </w:r>
      <w:proofErr w:type="spellStart"/>
      <w:r w:rsidR="007C7565" w:rsidRPr="00533D7F">
        <w:rPr>
          <w:rFonts w:asciiTheme="minorHAnsi" w:eastAsiaTheme="minorHAnsi" w:hAnsiTheme="minorHAnsi" w:cstheme="minorHAnsi"/>
          <w:lang w:val="en-US" w:eastAsia="en-US"/>
        </w:rPr>
        <w:t>favour</w:t>
      </w:r>
      <w:proofErr w:type="spellEnd"/>
      <w:r w:rsidR="007C7565" w:rsidRPr="00533D7F">
        <w:rPr>
          <w:rFonts w:asciiTheme="minorHAnsi" w:eastAsiaTheme="minorHAnsi" w:hAnsiTheme="minorHAnsi" w:cstheme="minorHAnsi"/>
          <w:lang w:val="en-US" w:eastAsia="en-US"/>
        </w:rPr>
        <w:t xml:space="preserve"> of the [</w:t>
      </w:r>
      <w:proofErr w:type="spellStart"/>
      <w:r w:rsidR="007C7565" w:rsidRPr="00533D7F">
        <w:rPr>
          <w:rFonts w:asciiTheme="minorHAnsi" w:eastAsiaTheme="minorHAnsi" w:hAnsiTheme="minorHAnsi" w:cstheme="minorHAnsi"/>
          <w:lang w:val="en-US" w:eastAsia="en-US"/>
        </w:rPr>
        <w:t>unrecognised</w:t>
      </w:r>
      <w:proofErr w:type="spellEnd"/>
      <w:r w:rsidR="007C7565" w:rsidRPr="00533D7F">
        <w:rPr>
          <w:rFonts w:asciiTheme="minorHAnsi" w:eastAsiaTheme="minorHAnsi" w:hAnsiTheme="minorHAnsi" w:cstheme="minorHAnsi"/>
          <w:color w:val="000000" w:themeColor="text1"/>
          <w:lang w:val="en-US" w:eastAsia="en-US"/>
        </w:rPr>
        <w:t>] “TRNC” courts.”</w:t>
      </w:r>
      <w:r w:rsidR="00675D3D" w:rsidRPr="00533D7F">
        <w:rPr>
          <w:rStyle w:val="Appelnotedebasdep"/>
          <w:rFonts w:asciiTheme="minorHAnsi" w:hAnsiTheme="minorHAnsi" w:cstheme="minorHAnsi"/>
          <w:color w:val="000000" w:themeColor="text1"/>
          <w:lang w:val="en-US"/>
        </w:rPr>
        <w:footnoteReference w:id="49"/>
      </w:r>
      <w:r w:rsidR="007B4654" w:rsidRPr="00533D7F">
        <w:rPr>
          <w:rFonts w:asciiTheme="minorHAnsi" w:eastAsiaTheme="minorHAnsi" w:hAnsiTheme="minorHAnsi" w:cstheme="minorHAnsi"/>
          <w:color w:val="000000" w:themeColor="text1"/>
          <w:lang w:val="en-US" w:eastAsia="en-US"/>
        </w:rPr>
        <w:t xml:space="preserve"> </w:t>
      </w:r>
      <w:r w:rsidRPr="00533D7F">
        <w:rPr>
          <w:rFonts w:asciiTheme="minorHAnsi" w:eastAsiaTheme="minorHAnsi" w:hAnsiTheme="minorHAnsi" w:cstheme="minorHAnsi"/>
          <w:color w:val="000000" w:themeColor="text1"/>
          <w:lang w:val="en-US" w:eastAsia="en-US"/>
        </w:rPr>
        <w:t>As a result</w:t>
      </w:r>
      <w:r w:rsidR="00196748" w:rsidRPr="00533D7F">
        <w:rPr>
          <w:rFonts w:asciiTheme="minorHAnsi" w:eastAsiaTheme="minorHAnsi" w:hAnsiTheme="minorHAnsi" w:cstheme="minorHAnsi"/>
          <w:color w:val="000000" w:themeColor="text1"/>
          <w:lang w:val="en-US" w:eastAsia="en-US"/>
        </w:rPr>
        <w:t>, only</w:t>
      </w:r>
      <w:r w:rsidR="002E5AD9" w:rsidRPr="00533D7F">
        <w:rPr>
          <w:rFonts w:asciiTheme="minorHAnsi" w:eastAsiaTheme="minorHAnsi" w:hAnsiTheme="minorHAnsi" w:cstheme="minorHAnsi"/>
          <w:color w:val="000000" w:themeColor="text1"/>
          <w:lang w:val="en-US" w:eastAsia="en-US"/>
        </w:rPr>
        <w:t xml:space="preserve"> Tukey was found in breach of </w:t>
      </w:r>
      <w:r w:rsidR="00BC199B">
        <w:rPr>
          <w:rFonts w:asciiTheme="minorHAnsi" w:eastAsiaTheme="minorHAnsi" w:hAnsiTheme="minorHAnsi" w:cstheme="minorHAnsi"/>
          <w:color w:val="000000" w:themeColor="text1"/>
          <w:lang w:val="en-US" w:eastAsia="en-US"/>
        </w:rPr>
        <w:t>A</w:t>
      </w:r>
      <w:r w:rsidR="002E5AD9" w:rsidRPr="00533D7F">
        <w:rPr>
          <w:rFonts w:asciiTheme="minorHAnsi" w:eastAsiaTheme="minorHAnsi" w:hAnsiTheme="minorHAnsi" w:cstheme="minorHAnsi"/>
          <w:color w:val="000000" w:themeColor="text1"/>
          <w:lang w:val="en-US" w:eastAsia="en-US"/>
        </w:rPr>
        <w:t>rticles 2 and 13</w:t>
      </w:r>
      <w:r w:rsidRPr="00533D7F">
        <w:rPr>
          <w:rFonts w:asciiTheme="minorHAnsi" w:eastAsiaTheme="minorHAnsi" w:hAnsiTheme="minorHAnsi" w:cstheme="minorHAnsi"/>
          <w:color w:val="000000" w:themeColor="text1"/>
          <w:lang w:val="en-US" w:eastAsia="en-US"/>
        </w:rPr>
        <w:t xml:space="preserve"> because Turkish authorities had not even replied to the extradition request</w:t>
      </w:r>
      <w:r w:rsidR="002E5AD9" w:rsidRPr="00533D7F">
        <w:rPr>
          <w:rFonts w:asciiTheme="minorHAnsi" w:eastAsiaTheme="minorHAnsi" w:hAnsiTheme="minorHAnsi" w:cstheme="minorHAnsi"/>
          <w:color w:val="000000" w:themeColor="text1"/>
          <w:lang w:val="en-US" w:eastAsia="en-US"/>
        </w:rPr>
        <w:t>.</w:t>
      </w:r>
      <w:r w:rsidRPr="00533D7F">
        <w:rPr>
          <w:rFonts w:asciiTheme="minorHAnsi" w:hAnsiTheme="minorHAnsi" w:cstheme="minorHAnsi"/>
          <w:color w:val="000000" w:themeColor="text1"/>
          <w:bdr w:val="none" w:sz="0" w:space="0" w:color="auto" w:frame="1"/>
          <w:lang w:val="en-GB"/>
        </w:rPr>
        <w:t xml:space="preserve"> </w:t>
      </w:r>
      <w:proofErr w:type="spellStart"/>
      <w:r w:rsidRPr="00533D7F">
        <w:rPr>
          <w:rFonts w:asciiTheme="minorHAnsi" w:hAnsiTheme="minorHAnsi" w:cstheme="minorHAnsi"/>
          <w:color w:val="000000" w:themeColor="text1"/>
          <w:bdr w:val="none" w:sz="0" w:space="0" w:color="auto" w:frame="1"/>
          <w:lang w:val="en-GB"/>
        </w:rPr>
        <w:t>Hadjigeorgiou</w:t>
      </w:r>
      <w:proofErr w:type="spellEnd"/>
      <w:r w:rsidRPr="00533D7F">
        <w:rPr>
          <w:rFonts w:asciiTheme="minorHAnsi" w:hAnsiTheme="minorHAnsi" w:cstheme="minorHAnsi"/>
          <w:color w:val="000000" w:themeColor="text1"/>
          <w:bdr w:val="none" w:sz="0" w:space="0" w:color="auto" w:frame="1"/>
          <w:lang w:val="en-GB"/>
        </w:rPr>
        <w:t xml:space="preserve"> contends, in this regard, that if Turkey had simply answered the request, even by the negative, the Court would have perhaps not reached that conclusion</w:t>
      </w:r>
      <w:r w:rsidR="006C7C3A" w:rsidRPr="00533D7F">
        <w:rPr>
          <w:rFonts w:asciiTheme="minorHAnsi" w:hAnsiTheme="minorHAnsi" w:cstheme="minorHAnsi"/>
          <w:color w:val="000000" w:themeColor="text1"/>
          <w:bdr w:val="none" w:sz="0" w:space="0" w:color="auto" w:frame="1"/>
          <w:lang w:val="en-GB"/>
        </w:rPr>
        <w:t xml:space="preserve"> (although, she rightfully argues, “</w:t>
      </w:r>
      <w:r w:rsidR="006C7C3A" w:rsidRPr="00533D7F">
        <w:rPr>
          <w:rFonts w:asciiTheme="minorHAnsi" w:hAnsiTheme="minorHAnsi" w:cstheme="minorHAnsi"/>
          <w:color w:val="000000" w:themeColor="text1"/>
          <w:shd w:val="clear" w:color="auto" w:fill="FFFFFF"/>
          <w:lang w:val="en-US"/>
        </w:rPr>
        <w:t>it would not have actually resulted in a more effective investigation of the deaths</w:t>
      </w:r>
      <w:r w:rsidR="006C7C3A" w:rsidRPr="00533D7F">
        <w:rPr>
          <w:rFonts w:asciiTheme="minorHAnsi" w:hAnsiTheme="minorHAnsi" w:cstheme="minorHAnsi"/>
          <w:color w:val="000000" w:themeColor="text1"/>
          <w:bdr w:val="none" w:sz="0" w:space="0" w:color="auto" w:frame="1"/>
          <w:lang w:val="en-GB"/>
        </w:rPr>
        <w:t>”)</w:t>
      </w:r>
      <w:r w:rsidRPr="00533D7F">
        <w:rPr>
          <w:rFonts w:asciiTheme="minorHAnsi" w:hAnsiTheme="minorHAnsi" w:cstheme="minorHAnsi"/>
          <w:color w:val="000000" w:themeColor="text1"/>
          <w:bdr w:val="none" w:sz="0" w:space="0" w:color="auto" w:frame="1"/>
          <w:lang w:val="en-GB"/>
        </w:rPr>
        <w:t>.</w:t>
      </w:r>
      <w:r w:rsidRPr="00533D7F">
        <w:rPr>
          <w:rStyle w:val="Appelnotedebasdep"/>
          <w:rFonts w:asciiTheme="minorHAnsi" w:hAnsiTheme="minorHAnsi" w:cstheme="minorHAnsi"/>
          <w:color w:val="000000" w:themeColor="text1"/>
          <w:bdr w:val="none" w:sz="0" w:space="0" w:color="auto" w:frame="1"/>
          <w:lang w:val="en-GB"/>
        </w:rPr>
        <w:footnoteReference w:id="50"/>
      </w:r>
    </w:p>
    <w:p w14:paraId="5F4CC9C4" w14:textId="1FE54ADB" w:rsidR="00383E8D" w:rsidRPr="00533D7F" w:rsidRDefault="00383E8D" w:rsidP="00AB0E9A">
      <w:pPr>
        <w:jc w:val="both"/>
        <w:rPr>
          <w:rFonts w:asciiTheme="minorHAnsi" w:hAnsiTheme="minorHAnsi" w:cstheme="minorHAnsi"/>
          <w:lang w:val="en-US"/>
        </w:rPr>
      </w:pPr>
    </w:p>
    <w:p w14:paraId="3A75878E" w14:textId="35A867A9" w:rsidR="00383E8D" w:rsidRPr="00533D7F" w:rsidRDefault="00C973BB" w:rsidP="003E41DB">
      <w:pPr>
        <w:jc w:val="both"/>
        <w:rPr>
          <w:rFonts w:asciiTheme="minorHAnsi" w:hAnsiTheme="minorHAnsi" w:cstheme="minorHAnsi"/>
          <w:lang w:val="en-US"/>
        </w:rPr>
      </w:pPr>
      <w:r w:rsidRPr="00533D7F">
        <w:rPr>
          <w:rFonts w:asciiTheme="minorHAnsi" w:hAnsiTheme="minorHAnsi" w:cstheme="minorHAnsi"/>
          <w:lang w:val="en-US"/>
        </w:rPr>
        <w:t>With this case,</w:t>
      </w:r>
      <w:r w:rsidR="00FA6F32" w:rsidRPr="00533D7F">
        <w:rPr>
          <w:rFonts w:asciiTheme="minorHAnsi" w:hAnsiTheme="minorHAnsi" w:cstheme="minorHAnsi"/>
          <w:lang w:val="en-US"/>
        </w:rPr>
        <w:t xml:space="preserve"> the Court </w:t>
      </w:r>
      <w:r w:rsidR="005B4A83" w:rsidRPr="00533D7F">
        <w:rPr>
          <w:rFonts w:asciiTheme="minorHAnsi" w:hAnsiTheme="minorHAnsi" w:cstheme="minorHAnsi"/>
          <w:lang w:val="en-US"/>
        </w:rPr>
        <w:t xml:space="preserve">therefore </w:t>
      </w:r>
      <w:r w:rsidR="00FA6F32" w:rsidRPr="00533D7F">
        <w:rPr>
          <w:rFonts w:asciiTheme="minorHAnsi" w:hAnsiTheme="minorHAnsi" w:cstheme="minorHAnsi"/>
          <w:lang w:val="en-US"/>
        </w:rPr>
        <w:t xml:space="preserve">established a direct link between the lack of cooperation and the </w:t>
      </w:r>
      <w:r w:rsidR="004B04B9" w:rsidRPr="00533D7F">
        <w:rPr>
          <w:rFonts w:asciiTheme="minorHAnsi" w:hAnsiTheme="minorHAnsi" w:cstheme="minorHAnsi"/>
          <w:lang w:val="en-US"/>
        </w:rPr>
        <w:t>violation of the right to life</w:t>
      </w:r>
      <w:r w:rsidR="003F756F" w:rsidRPr="00533D7F">
        <w:rPr>
          <w:rFonts w:asciiTheme="minorHAnsi" w:hAnsiTheme="minorHAnsi" w:cstheme="minorHAnsi"/>
          <w:lang w:val="en-US"/>
        </w:rPr>
        <w:t xml:space="preserve"> protected under Article 2 of the Convention</w:t>
      </w:r>
      <w:r w:rsidR="004B04B9" w:rsidRPr="00533D7F">
        <w:rPr>
          <w:rFonts w:asciiTheme="minorHAnsi" w:hAnsiTheme="minorHAnsi" w:cstheme="minorHAnsi"/>
          <w:lang w:val="en-US"/>
        </w:rPr>
        <w:t xml:space="preserve">. </w:t>
      </w:r>
      <w:r w:rsidR="00296FE6" w:rsidRPr="00533D7F">
        <w:rPr>
          <w:rFonts w:asciiTheme="minorHAnsi" w:hAnsiTheme="minorHAnsi" w:cstheme="minorHAnsi"/>
          <w:lang w:val="en-US"/>
        </w:rPr>
        <w:t xml:space="preserve">While the Court had already established in previous rulings that </w:t>
      </w:r>
      <w:r w:rsidR="00AF75BD">
        <w:rPr>
          <w:rFonts w:asciiTheme="minorHAnsi" w:hAnsiTheme="minorHAnsi" w:cstheme="minorHAnsi"/>
          <w:lang w:val="en-US"/>
        </w:rPr>
        <w:t>the</w:t>
      </w:r>
      <w:r w:rsidR="00296FE6" w:rsidRPr="00533D7F">
        <w:rPr>
          <w:rFonts w:asciiTheme="minorHAnsi" w:hAnsiTheme="minorHAnsi" w:cstheme="minorHAnsi"/>
          <w:lang w:val="en-US"/>
        </w:rPr>
        <w:t xml:space="preserve"> Contracting Parties have a duty to conduct proper investigations when the right to life of a person has been violated as a result of the use of force,</w:t>
      </w:r>
      <w:r w:rsidR="00296FE6" w:rsidRPr="00533D7F">
        <w:rPr>
          <w:rStyle w:val="Appelnotedebasdep"/>
          <w:rFonts w:asciiTheme="minorHAnsi" w:hAnsiTheme="minorHAnsi" w:cstheme="minorHAnsi"/>
          <w:lang w:val="en-US"/>
        </w:rPr>
        <w:footnoteReference w:id="51"/>
      </w:r>
      <w:r w:rsidR="00296FE6" w:rsidRPr="00533D7F">
        <w:rPr>
          <w:rFonts w:asciiTheme="minorHAnsi" w:hAnsiTheme="minorHAnsi" w:cstheme="minorHAnsi"/>
          <w:lang w:val="en-US"/>
        </w:rPr>
        <w:t xml:space="preserve"> this </w:t>
      </w:r>
      <w:r w:rsidR="00174340" w:rsidRPr="00533D7F">
        <w:rPr>
          <w:rFonts w:asciiTheme="minorHAnsi" w:hAnsiTheme="minorHAnsi" w:cstheme="minorHAnsi"/>
          <w:lang w:val="en-US"/>
        </w:rPr>
        <w:t xml:space="preserve">procedural </w:t>
      </w:r>
      <w:r w:rsidR="00296FE6" w:rsidRPr="00533D7F">
        <w:rPr>
          <w:rFonts w:asciiTheme="minorHAnsi" w:hAnsiTheme="minorHAnsi" w:cstheme="minorHAnsi"/>
          <w:lang w:val="en-US"/>
        </w:rPr>
        <w:t xml:space="preserve">obligation </w:t>
      </w:r>
      <w:r w:rsidR="00A62D42" w:rsidRPr="00533D7F">
        <w:rPr>
          <w:rFonts w:asciiTheme="minorHAnsi" w:hAnsiTheme="minorHAnsi" w:cstheme="minorHAnsi"/>
          <w:lang w:val="en-US"/>
        </w:rPr>
        <w:t>wa</w:t>
      </w:r>
      <w:r w:rsidR="00296FE6" w:rsidRPr="00533D7F">
        <w:rPr>
          <w:rFonts w:asciiTheme="minorHAnsi" w:hAnsiTheme="minorHAnsi" w:cstheme="minorHAnsi"/>
          <w:lang w:val="en-US"/>
        </w:rPr>
        <w:t xml:space="preserve">s more specifically the one of the State under whose jurisdiction the </w:t>
      </w:r>
      <w:r w:rsidR="00174340" w:rsidRPr="00533D7F">
        <w:rPr>
          <w:rFonts w:asciiTheme="minorHAnsi" w:hAnsiTheme="minorHAnsi" w:cstheme="minorHAnsi"/>
          <w:lang w:val="en-US"/>
        </w:rPr>
        <w:t>killing</w:t>
      </w:r>
      <w:r w:rsidR="00296FE6" w:rsidRPr="00533D7F">
        <w:rPr>
          <w:rFonts w:asciiTheme="minorHAnsi" w:hAnsiTheme="minorHAnsi" w:cstheme="minorHAnsi"/>
          <w:lang w:val="en-US"/>
        </w:rPr>
        <w:t xml:space="preserve"> took place</w:t>
      </w:r>
      <w:r w:rsidR="00174340" w:rsidRPr="00533D7F">
        <w:rPr>
          <w:rFonts w:asciiTheme="minorHAnsi" w:hAnsiTheme="minorHAnsi" w:cstheme="minorHAnsi"/>
          <w:lang w:val="en-US"/>
        </w:rPr>
        <w:t>.</w:t>
      </w:r>
      <w:r w:rsidR="00296FE6" w:rsidRPr="00533D7F">
        <w:rPr>
          <w:rStyle w:val="Appelnotedebasdep"/>
          <w:rFonts w:asciiTheme="minorHAnsi" w:hAnsiTheme="minorHAnsi" w:cstheme="minorHAnsi"/>
          <w:lang w:val="en-US"/>
        </w:rPr>
        <w:footnoteReference w:id="52"/>
      </w:r>
      <w:r w:rsidR="00174340" w:rsidRPr="00533D7F">
        <w:rPr>
          <w:rFonts w:asciiTheme="minorHAnsi" w:hAnsiTheme="minorHAnsi" w:cstheme="minorHAnsi"/>
          <w:lang w:val="en-US"/>
        </w:rPr>
        <w:t xml:space="preserve"> As for the other States where</w:t>
      </w:r>
      <w:r w:rsidR="00C76B4B" w:rsidRPr="00533D7F">
        <w:rPr>
          <w:rFonts w:asciiTheme="minorHAnsi" w:hAnsiTheme="minorHAnsi" w:cstheme="minorHAnsi"/>
          <w:lang w:val="en-US"/>
        </w:rPr>
        <w:t xml:space="preserve"> </w:t>
      </w:r>
      <w:r w:rsidR="00174340" w:rsidRPr="00533D7F">
        <w:rPr>
          <w:rFonts w:asciiTheme="minorHAnsi" w:hAnsiTheme="minorHAnsi" w:cstheme="minorHAnsi"/>
          <w:lang w:val="en-US"/>
        </w:rPr>
        <w:t>evidence might be located,</w:t>
      </w:r>
      <w:r w:rsidR="00C76B4B" w:rsidRPr="00533D7F">
        <w:rPr>
          <w:rFonts w:asciiTheme="minorHAnsi" w:hAnsiTheme="minorHAnsi" w:cstheme="minorHAnsi"/>
          <w:lang w:val="en-US"/>
        </w:rPr>
        <w:t xml:space="preserve"> for example, </w:t>
      </w:r>
      <w:r w:rsidR="00174340" w:rsidRPr="00533D7F">
        <w:rPr>
          <w:rFonts w:asciiTheme="minorHAnsi" w:hAnsiTheme="minorHAnsi" w:cstheme="minorHAnsi"/>
          <w:lang w:val="en-US"/>
        </w:rPr>
        <w:t xml:space="preserve">the Court </w:t>
      </w:r>
      <w:r w:rsidR="00C76B4B" w:rsidRPr="00533D7F">
        <w:rPr>
          <w:rFonts w:asciiTheme="minorHAnsi" w:hAnsiTheme="minorHAnsi" w:cstheme="minorHAnsi"/>
          <w:lang w:val="en-US"/>
        </w:rPr>
        <w:t xml:space="preserve">had also </w:t>
      </w:r>
      <w:r w:rsidR="00174340" w:rsidRPr="00533D7F">
        <w:rPr>
          <w:rFonts w:asciiTheme="minorHAnsi" w:hAnsiTheme="minorHAnsi" w:cstheme="minorHAnsi"/>
          <w:lang w:val="en-US"/>
        </w:rPr>
        <w:t>established an obligation to provide assistance to the requesting State</w:t>
      </w:r>
      <w:r w:rsidR="00C76B4B" w:rsidRPr="00533D7F">
        <w:rPr>
          <w:rFonts w:asciiTheme="minorHAnsi" w:hAnsiTheme="minorHAnsi" w:cstheme="minorHAnsi"/>
          <w:lang w:val="en-US"/>
        </w:rPr>
        <w:t xml:space="preserve"> within its competences when such a request is made</w:t>
      </w:r>
      <w:r w:rsidR="00174340" w:rsidRPr="00533D7F">
        <w:rPr>
          <w:rFonts w:asciiTheme="minorHAnsi" w:hAnsiTheme="minorHAnsi" w:cstheme="minorHAnsi"/>
          <w:lang w:val="en-US"/>
        </w:rPr>
        <w:t>.</w:t>
      </w:r>
      <w:r w:rsidR="00174340" w:rsidRPr="00533D7F">
        <w:rPr>
          <w:rStyle w:val="Appelnotedebasdep"/>
          <w:rFonts w:asciiTheme="minorHAnsi" w:hAnsiTheme="minorHAnsi" w:cstheme="minorHAnsi"/>
          <w:lang w:val="en-US"/>
        </w:rPr>
        <w:footnoteReference w:id="53"/>
      </w:r>
      <w:r w:rsidR="00C76B4B" w:rsidRPr="00533D7F">
        <w:rPr>
          <w:rFonts w:asciiTheme="minorHAnsi" w:hAnsiTheme="minorHAnsi" w:cstheme="minorHAnsi"/>
          <w:lang w:val="en-US"/>
        </w:rPr>
        <w:t xml:space="preserve"> The novelty brought by this case is that, for the first time, the Court found a violation of Article 2 that it solely attributed to the lack of cooperation between </w:t>
      </w:r>
      <w:r w:rsidR="00C50785" w:rsidRPr="00533D7F">
        <w:rPr>
          <w:rFonts w:asciiTheme="minorHAnsi" w:hAnsiTheme="minorHAnsi" w:cstheme="minorHAnsi"/>
          <w:lang w:val="en-US"/>
        </w:rPr>
        <w:t>the Cypriot and Turkish authorities</w:t>
      </w:r>
      <w:r w:rsidR="00DF3FB4">
        <w:rPr>
          <w:rFonts w:asciiTheme="minorHAnsi" w:hAnsiTheme="minorHAnsi" w:cstheme="minorHAnsi"/>
          <w:lang w:val="en-US"/>
        </w:rPr>
        <w:t>. T</w:t>
      </w:r>
      <w:r w:rsidR="00CA42CF" w:rsidRPr="00533D7F">
        <w:rPr>
          <w:rFonts w:asciiTheme="minorHAnsi" w:hAnsiTheme="minorHAnsi" w:cstheme="minorHAnsi"/>
          <w:lang w:val="en-US"/>
        </w:rPr>
        <w:t>he Court</w:t>
      </w:r>
      <w:r w:rsidR="007539C4" w:rsidRPr="00533D7F">
        <w:rPr>
          <w:rFonts w:asciiTheme="minorHAnsi" w:hAnsiTheme="minorHAnsi" w:cstheme="minorHAnsi"/>
          <w:lang w:val="en-US"/>
        </w:rPr>
        <w:t xml:space="preserve"> indeed described</w:t>
      </w:r>
      <w:r w:rsidR="00A62D42" w:rsidRPr="00533D7F">
        <w:rPr>
          <w:rFonts w:asciiTheme="minorHAnsi" w:hAnsiTheme="minorHAnsi" w:cstheme="minorHAnsi"/>
          <w:lang w:val="en-US"/>
        </w:rPr>
        <w:t xml:space="preserve"> A</w:t>
      </w:r>
      <w:r w:rsidR="007539C4" w:rsidRPr="00533D7F">
        <w:rPr>
          <w:rFonts w:asciiTheme="minorHAnsi" w:hAnsiTheme="minorHAnsi" w:cstheme="minorHAnsi"/>
          <w:lang w:val="en-US"/>
        </w:rPr>
        <w:t>rticle 2 as</w:t>
      </w:r>
      <w:r w:rsidR="00921D31" w:rsidRPr="00533D7F">
        <w:rPr>
          <w:rFonts w:asciiTheme="minorHAnsi" w:hAnsiTheme="minorHAnsi" w:cstheme="minorHAnsi"/>
          <w:lang w:val="en-US"/>
        </w:rPr>
        <w:t>, in certain circumstances,</w:t>
      </w:r>
      <w:r w:rsidR="007539C4" w:rsidRPr="00533D7F">
        <w:rPr>
          <w:rFonts w:asciiTheme="minorHAnsi" w:hAnsiTheme="minorHAnsi" w:cstheme="minorHAnsi"/>
          <w:lang w:val="en-US"/>
        </w:rPr>
        <w:t xml:space="preserve"> generating a</w:t>
      </w:r>
      <w:r w:rsidR="007539C4" w:rsidRPr="00533D7F">
        <w:rPr>
          <w:rFonts w:asciiTheme="minorHAnsi" w:hAnsiTheme="minorHAnsi" w:cstheme="minorHAnsi"/>
          <w:i/>
          <w:iCs/>
          <w:lang w:val="en-US"/>
        </w:rPr>
        <w:t xml:space="preserve"> “</w:t>
      </w:r>
      <w:r w:rsidR="007539C4" w:rsidRPr="00533D7F">
        <w:rPr>
          <w:rStyle w:val="Accentuation"/>
          <w:rFonts w:asciiTheme="minorHAnsi" w:eastAsiaTheme="majorEastAsia" w:hAnsiTheme="minorHAnsi" w:cstheme="minorHAnsi"/>
          <w:i w:val="0"/>
          <w:iCs w:val="0"/>
          <w:color w:val="111111"/>
          <w:bdr w:val="none" w:sz="0" w:space="0" w:color="auto" w:frame="1"/>
          <w:lang w:val="en-US"/>
        </w:rPr>
        <w:t>two-way obligation to cooperate with each other, implying at the same time an obligation to seek assistance and an obligation to afford assistance</w:t>
      </w:r>
      <w:r w:rsidR="007539C4" w:rsidRPr="00533D7F">
        <w:rPr>
          <w:rFonts w:asciiTheme="minorHAnsi" w:hAnsiTheme="minorHAnsi" w:cstheme="minorHAnsi"/>
          <w:lang w:val="en-US"/>
        </w:rPr>
        <w:t>”</w:t>
      </w:r>
      <w:r w:rsidR="00921D31" w:rsidRPr="00533D7F">
        <w:rPr>
          <w:rFonts w:asciiTheme="minorHAnsi" w:hAnsiTheme="minorHAnsi" w:cstheme="minorHAnsi"/>
          <w:lang w:val="en-US"/>
        </w:rPr>
        <w:t>.</w:t>
      </w:r>
      <w:r w:rsidR="00921D31" w:rsidRPr="00533D7F">
        <w:rPr>
          <w:rStyle w:val="Appelnotedebasdep"/>
          <w:rFonts w:asciiTheme="minorHAnsi" w:hAnsiTheme="minorHAnsi" w:cstheme="minorHAnsi"/>
          <w:lang w:val="en-US"/>
        </w:rPr>
        <w:footnoteReference w:id="54"/>
      </w:r>
      <w:r w:rsidR="00921D31" w:rsidRPr="00533D7F">
        <w:rPr>
          <w:rFonts w:asciiTheme="minorHAnsi" w:hAnsiTheme="minorHAnsi" w:cstheme="minorHAnsi"/>
          <w:lang w:val="en-US"/>
        </w:rPr>
        <w:t xml:space="preserve"> </w:t>
      </w:r>
      <w:r w:rsidR="007A167F" w:rsidRPr="00533D7F">
        <w:rPr>
          <w:rFonts w:asciiTheme="minorHAnsi" w:hAnsiTheme="minorHAnsi" w:cstheme="minorHAnsi"/>
          <w:lang w:val="en-US"/>
        </w:rPr>
        <w:t>It more specifically linked this obligation to using the international treaties and agreements offering venues for cooperation</w:t>
      </w:r>
      <w:r w:rsidR="003E41DB" w:rsidRPr="00533D7F">
        <w:rPr>
          <w:rFonts w:asciiTheme="minorHAnsi" w:hAnsiTheme="minorHAnsi" w:cstheme="minorHAnsi"/>
          <w:lang w:val="en-US"/>
        </w:rPr>
        <w:t>, such as the European Convention on Extradition and the European Convention on Mutual Legal Assistance in Criminal Matters</w:t>
      </w:r>
      <w:r w:rsidR="00B959C7" w:rsidRPr="00533D7F">
        <w:rPr>
          <w:rFonts w:asciiTheme="minorHAnsi" w:hAnsiTheme="minorHAnsi" w:cstheme="minorHAnsi"/>
          <w:lang w:val="en-US"/>
        </w:rPr>
        <w:t xml:space="preserve"> that both Parties ha</w:t>
      </w:r>
      <w:r w:rsidR="00797767" w:rsidRPr="00533D7F">
        <w:rPr>
          <w:rFonts w:asciiTheme="minorHAnsi" w:hAnsiTheme="minorHAnsi" w:cstheme="minorHAnsi"/>
          <w:lang w:val="en-US"/>
        </w:rPr>
        <w:t>d</w:t>
      </w:r>
      <w:r w:rsidR="00B959C7" w:rsidRPr="00533D7F">
        <w:rPr>
          <w:rFonts w:asciiTheme="minorHAnsi" w:hAnsiTheme="minorHAnsi" w:cstheme="minorHAnsi"/>
          <w:lang w:val="en-US"/>
        </w:rPr>
        <w:t xml:space="preserve"> ratified</w:t>
      </w:r>
      <w:r w:rsidR="00FE6A8F" w:rsidRPr="00533D7F">
        <w:rPr>
          <w:rFonts w:asciiTheme="minorHAnsi" w:hAnsiTheme="minorHAnsi" w:cstheme="minorHAnsi"/>
          <w:lang w:val="en-US"/>
        </w:rPr>
        <w:t xml:space="preserve"> and that </w:t>
      </w:r>
      <w:r w:rsidR="00FC7C8F">
        <w:rPr>
          <w:rFonts w:asciiTheme="minorHAnsi" w:hAnsiTheme="minorHAnsi" w:cstheme="minorHAnsi"/>
          <w:lang w:val="en-US"/>
        </w:rPr>
        <w:t>thus</w:t>
      </w:r>
      <w:r w:rsidR="00FE6A8F" w:rsidRPr="00533D7F">
        <w:rPr>
          <w:rFonts w:asciiTheme="minorHAnsi" w:hAnsiTheme="minorHAnsi" w:cstheme="minorHAnsi"/>
          <w:lang w:val="en-US"/>
        </w:rPr>
        <w:t xml:space="preserve"> bound them</w:t>
      </w:r>
      <w:r w:rsidR="003E41DB" w:rsidRPr="00533D7F">
        <w:rPr>
          <w:rFonts w:asciiTheme="minorHAnsi" w:hAnsiTheme="minorHAnsi" w:cstheme="minorHAnsi"/>
          <w:lang w:val="en-US"/>
        </w:rPr>
        <w:t>.</w:t>
      </w:r>
      <w:r w:rsidR="003E41DB" w:rsidRPr="00533D7F">
        <w:rPr>
          <w:rStyle w:val="Appelnotedebasdep"/>
          <w:rFonts w:asciiTheme="minorHAnsi" w:hAnsiTheme="minorHAnsi" w:cstheme="minorHAnsi"/>
          <w:lang w:val="en-US"/>
        </w:rPr>
        <w:footnoteReference w:id="55"/>
      </w:r>
      <w:r w:rsidR="00B03A71" w:rsidRPr="00533D7F">
        <w:rPr>
          <w:rFonts w:asciiTheme="minorHAnsi" w:hAnsiTheme="minorHAnsi" w:cstheme="minorHAnsi"/>
          <w:lang w:val="en-US"/>
        </w:rPr>
        <w:t xml:space="preserve">  </w:t>
      </w:r>
      <w:r w:rsidR="0017108C">
        <w:rPr>
          <w:rFonts w:asciiTheme="minorHAnsi" w:hAnsiTheme="minorHAnsi" w:cstheme="minorHAnsi"/>
          <w:lang w:val="en-US"/>
        </w:rPr>
        <w:t>The</w:t>
      </w:r>
      <w:r w:rsidR="00B03A71" w:rsidRPr="00533D7F">
        <w:rPr>
          <w:rFonts w:asciiTheme="minorHAnsi" w:hAnsiTheme="minorHAnsi" w:cstheme="minorHAnsi"/>
          <w:lang w:val="en-US"/>
        </w:rPr>
        <w:t xml:space="preserve"> takeaway from this ruling is </w:t>
      </w:r>
      <w:r w:rsidR="000756C5">
        <w:rPr>
          <w:rFonts w:asciiTheme="minorHAnsi" w:hAnsiTheme="minorHAnsi" w:cstheme="minorHAnsi"/>
          <w:lang w:val="en-US"/>
        </w:rPr>
        <w:t xml:space="preserve">therefore </w:t>
      </w:r>
      <w:r w:rsidR="00B03A71" w:rsidRPr="00533D7F">
        <w:rPr>
          <w:rFonts w:asciiTheme="minorHAnsi" w:hAnsiTheme="minorHAnsi" w:cstheme="minorHAnsi"/>
          <w:lang w:val="en-US"/>
        </w:rPr>
        <w:t xml:space="preserve">that, under certain circumstances, a failure to cooperate in criminal matters can amount to a breach of </w:t>
      </w:r>
      <w:r w:rsidR="00AD2C81" w:rsidRPr="00533D7F">
        <w:rPr>
          <w:rFonts w:asciiTheme="minorHAnsi" w:hAnsiTheme="minorHAnsi" w:cstheme="minorHAnsi"/>
          <w:lang w:val="en-US"/>
        </w:rPr>
        <w:t xml:space="preserve"> fundamental right</w:t>
      </w:r>
      <w:r w:rsidR="00430CB7" w:rsidRPr="00533D7F">
        <w:rPr>
          <w:rFonts w:asciiTheme="minorHAnsi" w:hAnsiTheme="minorHAnsi" w:cstheme="minorHAnsi"/>
          <w:lang w:val="en-US"/>
        </w:rPr>
        <w:t>s</w:t>
      </w:r>
      <w:r w:rsidR="00AD2C81" w:rsidRPr="00533D7F">
        <w:rPr>
          <w:rFonts w:asciiTheme="minorHAnsi" w:hAnsiTheme="minorHAnsi" w:cstheme="minorHAnsi"/>
          <w:lang w:val="en-US"/>
        </w:rPr>
        <w:t>.</w:t>
      </w:r>
      <w:r w:rsidR="00175642" w:rsidRPr="00533D7F">
        <w:rPr>
          <w:rFonts w:asciiTheme="minorHAnsi" w:hAnsiTheme="minorHAnsi" w:cstheme="minorHAnsi"/>
          <w:lang w:val="en-US"/>
        </w:rPr>
        <w:t xml:space="preserve"> </w:t>
      </w:r>
    </w:p>
    <w:p w14:paraId="527EF3EE" w14:textId="656462E8" w:rsidR="00B03A71" w:rsidRPr="00533D7F" w:rsidRDefault="00B03A71" w:rsidP="003E41DB">
      <w:pPr>
        <w:jc w:val="both"/>
        <w:rPr>
          <w:rFonts w:asciiTheme="minorHAnsi" w:hAnsiTheme="minorHAnsi" w:cstheme="minorHAnsi"/>
          <w:lang w:val="en-US"/>
        </w:rPr>
      </w:pPr>
    </w:p>
    <w:p w14:paraId="7CC8B604" w14:textId="73A7BDE8" w:rsidR="00517B20" w:rsidRPr="00533D7F" w:rsidRDefault="00AC0E4A" w:rsidP="00116718">
      <w:pPr>
        <w:jc w:val="both"/>
        <w:rPr>
          <w:rFonts w:asciiTheme="minorHAnsi" w:hAnsiTheme="minorHAnsi" w:cstheme="minorHAnsi"/>
          <w:lang w:val="en-US"/>
        </w:rPr>
      </w:pPr>
      <w:r w:rsidRPr="00533D7F">
        <w:rPr>
          <w:rFonts w:asciiTheme="minorHAnsi" w:hAnsiTheme="minorHAnsi" w:cstheme="minorHAnsi"/>
          <w:lang w:val="en-US"/>
        </w:rPr>
        <w:t xml:space="preserve">Looking at the specificities of the case, one understands where the Court comes from in its </w:t>
      </w:r>
      <w:r w:rsidR="004F0145">
        <w:rPr>
          <w:rFonts w:asciiTheme="minorHAnsi" w:hAnsiTheme="minorHAnsi" w:cstheme="minorHAnsi"/>
          <w:lang w:val="en-US"/>
        </w:rPr>
        <w:t>judgement</w:t>
      </w:r>
      <w:r w:rsidRPr="00533D7F">
        <w:rPr>
          <w:rFonts w:asciiTheme="minorHAnsi" w:hAnsiTheme="minorHAnsi" w:cstheme="minorHAnsi"/>
          <w:lang w:val="en-US"/>
        </w:rPr>
        <w:t>, but t</w:t>
      </w:r>
      <w:r w:rsidR="00B03A71" w:rsidRPr="00533D7F">
        <w:rPr>
          <w:rFonts w:asciiTheme="minorHAnsi" w:hAnsiTheme="minorHAnsi" w:cstheme="minorHAnsi"/>
          <w:lang w:val="en-US"/>
        </w:rPr>
        <w:t xml:space="preserve">his line of reasoning opens the way to </w:t>
      </w:r>
      <w:r w:rsidR="00AF75BD">
        <w:rPr>
          <w:rFonts w:asciiTheme="minorHAnsi" w:hAnsiTheme="minorHAnsi" w:cstheme="minorHAnsi"/>
          <w:lang w:val="en-US"/>
        </w:rPr>
        <w:t>what has the potential of being a</w:t>
      </w:r>
      <w:r w:rsidR="007A3093" w:rsidRPr="00533D7F">
        <w:rPr>
          <w:rFonts w:asciiTheme="minorHAnsi" w:hAnsiTheme="minorHAnsi" w:cstheme="minorHAnsi"/>
          <w:lang w:val="en-US"/>
        </w:rPr>
        <w:t xml:space="preserve"> very slippery slope</w:t>
      </w:r>
      <w:r w:rsidR="00923A7F" w:rsidRPr="00533D7F">
        <w:rPr>
          <w:rFonts w:asciiTheme="minorHAnsi" w:hAnsiTheme="minorHAnsi" w:cstheme="minorHAnsi"/>
          <w:lang w:val="en-US"/>
        </w:rPr>
        <w:t>. Some wondered, for example, if this obligation to collaborate using existing tools of cooperation in criminal matters</w:t>
      </w:r>
      <w:r w:rsidR="000F2CDC" w:rsidRPr="00533D7F">
        <w:rPr>
          <w:rFonts w:asciiTheme="minorHAnsi" w:hAnsiTheme="minorHAnsi" w:cstheme="minorHAnsi"/>
          <w:lang w:val="en-US"/>
        </w:rPr>
        <w:t xml:space="preserve"> would</w:t>
      </w:r>
      <w:r w:rsidR="00923A7F" w:rsidRPr="00533D7F">
        <w:rPr>
          <w:rFonts w:asciiTheme="minorHAnsi" w:hAnsiTheme="minorHAnsi" w:cstheme="minorHAnsi"/>
          <w:lang w:val="en-US"/>
        </w:rPr>
        <w:t xml:space="preserve"> also extend to EU </w:t>
      </w:r>
      <w:r w:rsidRPr="00533D7F">
        <w:rPr>
          <w:rFonts w:asciiTheme="minorHAnsi" w:hAnsiTheme="minorHAnsi" w:cstheme="minorHAnsi"/>
          <w:lang w:val="en-US"/>
        </w:rPr>
        <w:t>instruments</w:t>
      </w:r>
      <w:r w:rsidR="00923A7F" w:rsidRPr="00533D7F">
        <w:rPr>
          <w:rFonts w:asciiTheme="minorHAnsi" w:hAnsiTheme="minorHAnsi" w:cstheme="minorHAnsi"/>
          <w:lang w:val="en-US"/>
        </w:rPr>
        <w:t xml:space="preserve">, such as the European </w:t>
      </w:r>
      <w:r w:rsidR="00B611BF" w:rsidRPr="00533D7F">
        <w:rPr>
          <w:rFonts w:asciiTheme="minorHAnsi" w:hAnsiTheme="minorHAnsi" w:cstheme="minorHAnsi"/>
          <w:lang w:val="en-US"/>
        </w:rPr>
        <w:t>a</w:t>
      </w:r>
      <w:r w:rsidR="00923A7F" w:rsidRPr="00533D7F">
        <w:rPr>
          <w:rFonts w:asciiTheme="minorHAnsi" w:hAnsiTheme="minorHAnsi" w:cstheme="minorHAnsi"/>
          <w:lang w:val="en-US"/>
        </w:rPr>
        <w:t xml:space="preserve">rrest </w:t>
      </w:r>
      <w:r w:rsidR="00B611BF" w:rsidRPr="00533D7F">
        <w:rPr>
          <w:rFonts w:asciiTheme="minorHAnsi" w:hAnsiTheme="minorHAnsi" w:cstheme="minorHAnsi"/>
          <w:lang w:val="en-US"/>
        </w:rPr>
        <w:t>w</w:t>
      </w:r>
      <w:r w:rsidR="00923A7F" w:rsidRPr="00533D7F">
        <w:rPr>
          <w:rFonts w:asciiTheme="minorHAnsi" w:hAnsiTheme="minorHAnsi" w:cstheme="minorHAnsi"/>
          <w:lang w:val="en-US"/>
        </w:rPr>
        <w:t>arrant</w:t>
      </w:r>
      <w:r w:rsidR="00E54271">
        <w:rPr>
          <w:rFonts w:asciiTheme="minorHAnsi" w:hAnsiTheme="minorHAnsi" w:cstheme="minorHAnsi"/>
          <w:lang w:val="en-US"/>
        </w:rPr>
        <w:t xml:space="preserve">. This is a particularly efficient system for extradition, adopted in the </w:t>
      </w:r>
      <w:r w:rsidR="00D54D8D">
        <w:rPr>
          <w:rFonts w:asciiTheme="minorHAnsi" w:hAnsiTheme="minorHAnsi" w:cstheme="minorHAnsi"/>
          <w:lang w:val="en-US"/>
        </w:rPr>
        <w:t>context</w:t>
      </w:r>
      <w:r w:rsidR="001612CE">
        <w:rPr>
          <w:rFonts w:asciiTheme="minorHAnsi" w:hAnsiTheme="minorHAnsi" w:cstheme="minorHAnsi"/>
          <w:lang w:val="en-US"/>
        </w:rPr>
        <w:t xml:space="preserve"> </w:t>
      </w:r>
      <w:r w:rsidR="00E54271">
        <w:rPr>
          <w:rFonts w:asciiTheme="minorHAnsi" w:hAnsiTheme="minorHAnsi" w:cstheme="minorHAnsi"/>
          <w:lang w:val="en-US"/>
        </w:rPr>
        <w:t xml:space="preserve">of the war on terror, </w:t>
      </w:r>
      <w:r w:rsidR="00334E05">
        <w:rPr>
          <w:rFonts w:asciiTheme="minorHAnsi" w:hAnsiTheme="minorHAnsi" w:cstheme="minorHAnsi"/>
          <w:lang w:val="en-US"/>
        </w:rPr>
        <w:t>that only allows a</w:t>
      </w:r>
      <w:r w:rsidR="00E54271">
        <w:rPr>
          <w:rFonts w:asciiTheme="minorHAnsi" w:hAnsiTheme="minorHAnsi" w:cstheme="minorHAnsi"/>
          <w:lang w:val="en-US"/>
        </w:rPr>
        <w:t xml:space="preserve"> very limited possibility for refusing a request to surrender, and for this reason raises particularly important human rights concerns</w:t>
      </w:r>
      <w:r w:rsidRPr="00533D7F">
        <w:rPr>
          <w:rFonts w:asciiTheme="minorHAnsi" w:hAnsiTheme="minorHAnsi" w:cstheme="minorHAnsi"/>
          <w:lang w:val="en-US"/>
        </w:rPr>
        <w:t>.</w:t>
      </w:r>
      <w:r w:rsidR="00923A7F" w:rsidRPr="00533D7F">
        <w:rPr>
          <w:rStyle w:val="Appelnotedebasdep"/>
          <w:rFonts w:asciiTheme="minorHAnsi" w:hAnsiTheme="minorHAnsi" w:cstheme="minorHAnsi"/>
          <w:lang w:val="en-US"/>
        </w:rPr>
        <w:footnoteReference w:id="56"/>
      </w:r>
      <w:r w:rsidR="00175642" w:rsidRPr="00533D7F">
        <w:rPr>
          <w:rFonts w:asciiTheme="minorHAnsi" w:hAnsiTheme="minorHAnsi" w:cstheme="minorHAnsi"/>
          <w:lang w:val="en-US"/>
        </w:rPr>
        <w:t xml:space="preserve"> </w:t>
      </w:r>
      <w:r w:rsidR="00E0213B" w:rsidRPr="00533D7F">
        <w:rPr>
          <w:rFonts w:asciiTheme="minorHAnsi" w:hAnsiTheme="minorHAnsi" w:cstheme="minorHAnsi"/>
          <w:lang w:val="en-US"/>
        </w:rPr>
        <w:t xml:space="preserve">One thus cannot help but wonder if, after </w:t>
      </w:r>
      <w:proofErr w:type="spellStart"/>
      <w:r w:rsidR="00E0213B" w:rsidRPr="00D54D8D">
        <w:rPr>
          <w:rFonts w:asciiTheme="minorHAnsi" w:hAnsiTheme="minorHAnsi"/>
          <w:i/>
          <w:lang w:val="en-US"/>
        </w:rPr>
        <w:t>Güzelyurtlu</w:t>
      </w:r>
      <w:proofErr w:type="spellEnd"/>
      <w:r w:rsidR="00E0213B" w:rsidRPr="00533D7F">
        <w:rPr>
          <w:rFonts w:asciiTheme="minorHAnsi" w:hAnsiTheme="minorHAnsi" w:cstheme="minorHAnsi"/>
          <w:lang w:val="en-US"/>
        </w:rPr>
        <w:t>,</w:t>
      </w:r>
      <w:r w:rsidR="00116718" w:rsidRPr="00533D7F">
        <w:rPr>
          <w:rFonts w:asciiTheme="minorHAnsi" w:hAnsiTheme="minorHAnsi" w:cstheme="minorHAnsi"/>
          <w:lang w:val="en-US"/>
        </w:rPr>
        <w:t xml:space="preserve"> EU Member States </w:t>
      </w:r>
      <w:r w:rsidR="00E0213B" w:rsidRPr="00533D7F">
        <w:rPr>
          <w:rFonts w:asciiTheme="minorHAnsi" w:hAnsiTheme="minorHAnsi" w:cstheme="minorHAnsi"/>
          <w:lang w:val="en-US"/>
        </w:rPr>
        <w:t>could find themselves</w:t>
      </w:r>
      <w:r w:rsidR="00116718" w:rsidRPr="00533D7F">
        <w:rPr>
          <w:rFonts w:asciiTheme="minorHAnsi" w:hAnsiTheme="minorHAnsi" w:cstheme="minorHAnsi"/>
          <w:lang w:val="en-US"/>
        </w:rPr>
        <w:t xml:space="preserve"> in </w:t>
      </w:r>
      <w:r w:rsidR="00116718" w:rsidRPr="00533D7F">
        <w:rPr>
          <w:rFonts w:asciiTheme="minorHAnsi" w:hAnsiTheme="minorHAnsi" w:cstheme="minorHAnsi"/>
          <w:lang w:val="en-US"/>
        </w:rPr>
        <w:lastRenderedPageBreak/>
        <w:t xml:space="preserve">a situation where they would </w:t>
      </w:r>
      <w:r w:rsidR="00E0213B" w:rsidRPr="00533D7F">
        <w:rPr>
          <w:rFonts w:asciiTheme="minorHAnsi" w:hAnsiTheme="minorHAnsi" w:cstheme="minorHAnsi"/>
          <w:lang w:val="en-US"/>
        </w:rPr>
        <w:t xml:space="preserve">be in </w:t>
      </w:r>
      <w:r w:rsidR="00116718" w:rsidRPr="00533D7F">
        <w:rPr>
          <w:rFonts w:asciiTheme="minorHAnsi" w:hAnsiTheme="minorHAnsi" w:cstheme="minorHAnsi"/>
          <w:lang w:val="en-US"/>
        </w:rPr>
        <w:t>breach</w:t>
      </w:r>
      <w:r w:rsidR="00E0213B" w:rsidRPr="00533D7F">
        <w:rPr>
          <w:rFonts w:asciiTheme="minorHAnsi" w:hAnsiTheme="minorHAnsi" w:cstheme="minorHAnsi"/>
          <w:lang w:val="en-US"/>
        </w:rPr>
        <w:t xml:space="preserve"> of</w:t>
      </w:r>
      <w:r w:rsidR="00116718" w:rsidRPr="00533D7F">
        <w:rPr>
          <w:rFonts w:asciiTheme="minorHAnsi" w:hAnsiTheme="minorHAnsi" w:cstheme="minorHAnsi"/>
          <w:lang w:val="en-US"/>
        </w:rPr>
        <w:t xml:space="preserve"> fundamental rights while trying to protect them by refusing cooperation</w:t>
      </w:r>
      <w:r w:rsidR="00D05DFB" w:rsidRPr="00533D7F">
        <w:rPr>
          <w:rFonts w:asciiTheme="minorHAnsi" w:hAnsiTheme="minorHAnsi" w:cstheme="minorHAnsi"/>
          <w:lang w:val="en-US"/>
        </w:rPr>
        <w:t>.</w:t>
      </w:r>
      <w:r w:rsidR="00116718" w:rsidRPr="00533D7F">
        <w:rPr>
          <w:rFonts w:asciiTheme="minorHAnsi" w:hAnsiTheme="minorHAnsi" w:cstheme="minorHAnsi"/>
          <w:lang w:val="en-US"/>
        </w:rPr>
        <w:t xml:space="preserve"> </w:t>
      </w:r>
      <w:r w:rsidR="00E0213B" w:rsidRPr="00533D7F">
        <w:rPr>
          <w:rFonts w:asciiTheme="minorHAnsi" w:hAnsiTheme="minorHAnsi" w:cstheme="minorHAnsi"/>
          <w:lang w:val="en-US"/>
        </w:rPr>
        <w:t>This was</w:t>
      </w:r>
      <w:r w:rsidR="0037071E" w:rsidRPr="00533D7F">
        <w:rPr>
          <w:rFonts w:asciiTheme="minorHAnsi" w:hAnsiTheme="minorHAnsi" w:cstheme="minorHAnsi"/>
          <w:lang w:val="en-US"/>
        </w:rPr>
        <w:t xml:space="preserve"> precisely</w:t>
      </w:r>
      <w:r w:rsidR="00E0213B" w:rsidRPr="00533D7F">
        <w:rPr>
          <w:rFonts w:asciiTheme="minorHAnsi" w:hAnsiTheme="minorHAnsi" w:cstheme="minorHAnsi"/>
          <w:lang w:val="en-US"/>
        </w:rPr>
        <w:t xml:space="preserve"> the question that the Court answered in </w:t>
      </w:r>
      <w:proofErr w:type="spellStart"/>
      <w:r w:rsidR="00721DE8" w:rsidRPr="00533D7F">
        <w:rPr>
          <w:rFonts w:asciiTheme="minorHAnsi" w:hAnsiTheme="minorHAnsi" w:cstheme="minorHAnsi"/>
          <w:i/>
          <w:iCs/>
          <w:lang w:val="en-US"/>
        </w:rPr>
        <w:t>Castaño</w:t>
      </w:r>
      <w:proofErr w:type="spellEnd"/>
      <w:r w:rsidR="00E0213B" w:rsidRPr="00533D7F">
        <w:rPr>
          <w:rStyle w:val="Accentuation"/>
          <w:rFonts w:asciiTheme="minorHAnsi" w:eastAsiaTheme="majorEastAsia" w:hAnsiTheme="minorHAnsi" w:cstheme="minorHAnsi"/>
          <w:color w:val="000000" w:themeColor="text1"/>
          <w:lang w:val="en-US"/>
        </w:rPr>
        <w:t xml:space="preserve"> v</w:t>
      </w:r>
      <w:r w:rsidR="003313FA">
        <w:rPr>
          <w:rStyle w:val="Accentuation"/>
          <w:rFonts w:asciiTheme="minorHAnsi" w:eastAsiaTheme="majorEastAsia" w:hAnsiTheme="minorHAnsi" w:cstheme="minorHAnsi"/>
          <w:color w:val="000000" w:themeColor="text1"/>
          <w:lang w:val="en-US"/>
        </w:rPr>
        <w:t>.</w:t>
      </w:r>
      <w:r w:rsidR="00E0213B" w:rsidRPr="00533D7F">
        <w:rPr>
          <w:rStyle w:val="Accentuation"/>
          <w:rFonts w:asciiTheme="minorHAnsi" w:eastAsiaTheme="majorEastAsia" w:hAnsiTheme="minorHAnsi" w:cstheme="minorHAnsi"/>
          <w:color w:val="000000" w:themeColor="text1"/>
          <w:lang w:val="en-US"/>
        </w:rPr>
        <w:t xml:space="preserve"> Belgium</w:t>
      </w:r>
      <w:r w:rsidR="00E0213B" w:rsidRPr="00533D7F">
        <w:rPr>
          <w:rStyle w:val="Accentuation"/>
          <w:rFonts w:asciiTheme="minorHAnsi" w:eastAsiaTheme="majorEastAsia" w:hAnsiTheme="minorHAnsi" w:cstheme="minorHAnsi"/>
          <w:i w:val="0"/>
          <w:iCs w:val="0"/>
          <w:color w:val="000000" w:themeColor="text1"/>
          <w:lang w:val="en-US"/>
        </w:rPr>
        <w:t>.</w:t>
      </w:r>
    </w:p>
    <w:p w14:paraId="4F5C61A5" w14:textId="77777777" w:rsidR="00CF758A" w:rsidRPr="00533D7F" w:rsidRDefault="00CF758A" w:rsidP="00585DD0">
      <w:pPr>
        <w:rPr>
          <w:rFonts w:asciiTheme="minorHAnsi" w:hAnsiTheme="minorHAnsi" w:cstheme="minorHAnsi"/>
          <w:lang w:val="en-US"/>
        </w:rPr>
      </w:pPr>
    </w:p>
    <w:p w14:paraId="63D2E70A" w14:textId="7080B54E" w:rsidR="000B3D08" w:rsidRPr="00650689" w:rsidRDefault="000B3D08" w:rsidP="007A3093">
      <w:pPr>
        <w:pStyle w:val="Titre3"/>
        <w:numPr>
          <w:ilvl w:val="1"/>
          <w:numId w:val="1"/>
        </w:numPr>
        <w:rPr>
          <w:rFonts w:asciiTheme="minorHAnsi" w:hAnsiTheme="minorHAnsi"/>
          <w:i/>
          <w:lang w:val="fr-BE"/>
        </w:rPr>
      </w:pPr>
      <w:r w:rsidRPr="00650689">
        <w:rPr>
          <w:rFonts w:asciiTheme="minorHAnsi" w:hAnsiTheme="minorHAnsi"/>
          <w:i/>
        </w:rPr>
        <w:t xml:space="preserve">Romeo </w:t>
      </w:r>
      <w:proofErr w:type="spellStart"/>
      <w:r w:rsidRPr="00650689">
        <w:rPr>
          <w:rFonts w:asciiTheme="minorHAnsi" w:hAnsiTheme="minorHAnsi"/>
          <w:i/>
        </w:rPr>
        <w:t>Casta</w:t>
      </w:r>
      <w:r w:rsidR="007A3093" w:rsidRPr="008A5A7B">
        <w:rPr>
          <w:rStyle w:val="Accentuation"/>
          <w:rFonts w:asciiTheme="minorHAnsi" w:hAnsiTheme="minorHAnsi"/>
          <w:i w:val="0"/>
          <w:color w:val="44546A" w:themeColor="text2"/>
        </w:rPr>
        <w:t>ñ</w:t>
      </w:r>
      <w:r w:rsidRPr="00650689">
        <w:rPr>
          <w:rFonts w:asciiTheme="minorHAnsi" w:hAnsiTheme="minorHAnsi"/>
          <w:i/>
        </w:rPr>
        <w:t>o</w:t>
      </w:r>
      <w:proofErr w:type="spellEnd"/>
      <w:r w:rsidRPr="00650689">
        <w:rPr>
          <w:rFonts w:asciiTheme="minorHAnsi" w:hAnsiTheme="minorHAnsi"/>
          <w:i/>
        </w:rPr>
        <w:t xml:space="preserve"> v</w:t>
      </w:r>
      <w:r w:rsidR="003313FA" w:rsidRPr="00650689">
        <w:rPr>
          <w:rFonts w:asciiTheme="minorHAnsi" w:hAnsiTheme="minorHAnsi"/>
          <w:i/>
        </w:rPr>
        <w:t>.</w:t>
      </w:r>
      <w:r w:rsidRPr="00650689">
        <w:rPr>
          <w:rFonts w:asciiTheme="minorHAnsi" w:hAnsiTheme="minorHAnsi"/>
          <w:i/>
        </w:rPr>
        <w:t xml:space="preserve"> </w:t>
      </w:r>
      <w:proofErr w:type="spellStart"/>
      <w:r w:rsidRPr="00650689">
        <w:rPr>
          <w:rFonts w:asciiTheme="minorHAnsi" w:hAnsiTheme="minorHAnsi"/>
          <w:i/>
        </w:rPr>
        <w:t>Belgium</w:t>
      </w:r>
      <w:proofErr w:type="spellEnd"/>
    </w:p>
    <w:p w14:paraId="6B178458" w14:textId="40CD1C99" w:rsidR="000B3D08" w:rsidRPr="00533D7F" w:rsidRDefault="000B3D08" w:rsidP="000B3D08">
      <w:pPr>
        <w:rPr>
          <w:rFonts w:asciiTheme="minorHAnsi" w:hAnsiTheme="minorHAnsi" w:cstheme="minorHAnsi"/>
          <w:lang w:val="en-US"/>
        </w:rPr>
      </w:pPr>
    </w:p>
    <w:p w14:paraId="68AD7C67" w14:textId="3C85F0C3" w:rsidR="001C4C5A" w:rsidRPr="00533D7F" w:rsidRDefault="002C33B5" w:rsidP="00F41367">
      <w:pPr>
        <w:autoSpaceDE w:val="0"/>
        <w:autoSpaceDN w:val="0"/>
        <w:adjustRightInd w:val="0"/>
        <w:jc w:val="both"/>
        <w:rPr>
          <w:rFonts w:asciiTheme="minorHAnsi" w:hAnsiTheme="minorHAnsi" w:cstheme="minorHAnsi"/>
          <w:lang w:val="en-US"/>
        </w:rPr>
      </w:pPr>
      <w:r w:rsidRPr="00533D7F">
        <w:rPr>
          <w:rFonts w:asciiTheme="minorHAnsi" w:hAnsiTheme="minorHAnsi" w:cstheme="minorHAnsi"/>
          <w:lang w:val="en-US"/>
        </w:rPr>
        <w:t xml:space="preserve">The case concerned the father of Romeo </w:t>
      </w:r>
      <w:proofErr w:type="spellStart"/>
      <w:r w:rsidR="00831DF0" w:rsidRPr="00533D7F">
        <w:rPr>
          <w:rFonts w:asciiTheme="minorHAnsi" w:hAnsiTheme="minorHAnsi" w:cstheme="minorHAnsi"/>
          <w:lang w:val="en-US"/>
        </w:rPr>
        <w:t>Casta</w:t>
      </w:r>
      <w:r w:rsidR="00831DF0" w:rsidRPr="00533D7F">
        <w:rPr>
          <w:rStyle w:val="Accentuation"/>
          <w:rFonts w:asciiTheme="minorHAnsi" w:eastAsiaTheme="majorEastAsia" w:hAnsiTheme="minorHAnsi" w:cstheme="minorHAnsi"/>
          <w:i w:val="0"/>
          <w:iCs w:val="0"/>
          <w:color w:val="000000" w:themeColor="text1"/>
          <w:lang w:val="en-US"/>
        </w:rPr>
        <w:t>ño</w:t>
      </w:r>
      <w:proofErr w:type="spellEnd"/>
      <w:r w:rsidR="00831DF0" w:rsidRPr="00533D7F">
        <w:rPr>
          <w:rFonts w:asciiTheme="minorHAnsi" w:hAnsiTheme="minorHAnsi" w:cstheme="minorHAnsi"/>
          <w:lang w:val="en-US"/>
        </w:rPr>
        <w:t xml:space="preserve"> </w:t>
      </w:r>
      <w:r w:rsidRPr="00533D7F">
        <w:rPr>
          <w:rFonts w:asciiTheme="minorHAnsi" w:hAnsiTheme="minorHAnsi" w:cstheme="minorHAnsi"/>
          <w:lang w:val="en-US"/>
        </w:rPr>
        <w:t xml:space="preserve">who was murdered in 1981 by </w:t>
      </w:r>
      <w:r w:rsidR="00C76AD9" w:rsidRPr="00533D7F">
        <w:rPr>
          <w:rFonts w:asciiTheme="minorHAnsi" w:hAnsiTheme="minorHAnsi" w:cstheme="minorHAnsi"/>
          <w:lang w:val="en-US"/>
        </w:rPr>
        <w:t>a</w:t>
      </w:r>
      <w:r w:rsidRPr="00533D7F">
        <w:rPr>
          <w:rFonts w:asciiTheme="minorHAnsi" w:hAnsiTheme="minorHAnsi" w:cstheme="minorHAnsi"/>
          <w:lang w:val="en-US"/>
        </w:rPr>
        <w:t xml:space="preserve"> commando</w:t>
      </w:r>
      <w:r w:rsidR="00C76AD9" w:rsidRPr="00533D7F">
        <w:rPr>
          <w:rFonts w:asciiTheme="minorHAnsi" w:hAnsiTheme="minorHAnsi" w:cstheme="minorHAnsi"/>
          <w:lang w:val="en-US"/>
        </w:rPr>
        <w:t xml:space="preserve"> unit of the ETA terrorist </w:t>
      </w:r>
      <w:proofErr w:type="spellStart"/>
      <w:r w:rsidR="00C76AD9" w:rsidRPr="00533D7F">
        <w:rPr>
          <w:rFonts w:asciiTheme="minorHAnsi" w:hAnsiTheme="minorHAnsi" w:cstheme="minorHAnsi"/>
          <w:lang w:val="en-US"/>
        </w:rPr>
        <w:t>organisation</w:t>
      </w:r>
      <w:proofErr w:type="spellEnd"/>
      <w:r w:rsidR="00C76AD9" w:rsidRPr="00533D7F">
        <w:rPr>
          <w:rFonts w:asciiTheme="minorHAnsi" w:hAnsiTheme="minorHAnsi" w:cstheme="minorHAnsi"/>
          <w:lang w:val="en-US"/>
        </w:rPr>
        <w:t>. All members of the unit were tried in 2007, short of N.J.E. who fled to</w:t>
      </w:r>
      <w:r w:rsidR="00522342" w:rsidRPr="00533D7F">
        <w:rPr>
          <w:rFonts w:asciiTheme="minorHAnsi" w:hAnsiTheme="minorHAnsi" w:cstheme="minorHAnsi"/>
          <w:lang w:val="en-US"/>
        </w:rPr>
        <w:t xml:space="preserve"> Mexico and </w:t>
      </w:r>
      <w:r w:rsidR="0071123C">
        <w:rPr>
          <w:rFonts w:asciiTheme="minorHAnsi" w:hAnsiTheme="minorHAnsi" w:cstheme="minorHAnsi"/>
          <w:lang w:val="en-US"/>
        </w:rPr>
        <w:t>later</w:t>
      </w:r>
      <w:r w:rsidR="00C76AD9" w:rsidRPr="00533D7F">
        <w:rPr>
          <w:rFonts w:asciiTheme="minorHAnsi" w:hAnsiTheme="minorHAnsi" w:cstheme="minorHAnsi"/>
          <w:lang w:val="en-US"/>
        </w:rPr>
        <w:t xml:space="preserve"> </w:t>
      </w:r>
      <w:r w:rsidR="00463744">
        <w:rPr>
          <w:rFonts w:asciiTheme="minorHAnsi" w:hAnsiTheme="minorHAnsi" w:cstheme="minorHAnsi"/>
          <w:lang w:val="en-US"/>
        </w:rPr>
        <w:t>to</w:t>
      </w:r>
      <w:r w:rsidR="00C76AD9" w:rsidRPr="00533D7F">
        <w:rPr>
          <w:rFonts w:asciiTheme="minorHAnsi" w:hAnsiTheme="minorHAnsi" w:cstheme="minorHAnsi"/>
          <w:lang w:val="en-US"/>
        </w:rPr>
        <w:t xml:space="preserve"> Belgium. The Spanish judge thus issued </w:t>
      </w:r>
      <w:r w:rsidR="004E090D" w:rsidRPr="00533D7F">
        <w:rPr>
          <w:rFonts w:asciiTheme="minorHAnsi" w:hAnsiTheme="minorHAnsi" w:cstheme="minorHAnsi"/>
          <w:lang w:val="en-US"/>
        </w:rPr>
        <w:t>two</w:t>
      </w:r>
      <w:r w:rsidR="00C76AD9" w:rsidRPr="00533D7F">
        <w:rPr>
          <w:rFonts w:asciiTheme="minorHAnsi" w:hAnsiTheme="minorHAnsi" w:cstheme="minorHAnsi"/>
          <w:lang w:val="en-US"/>
        </w:rPr>
        <w:t xml:space="preserve"> European </w:t>
      </w:r>
      <w:r w:rsidR="00D64E5C">
        <w:rPr>
          <w:rFonts w:asciiTheme="minorHAnsi" w:hAnsiTheme="minorHAnsi" w:cstheme="minorHAnsi"/>
          <w:lang w:val="en-US"/>
        </w:rPr>
        <w:t>a</w:t>
      </w:r>
      <w:r w:rsidR="00C76AD9" w:rsidRPr="00533D7F">
        <w:rPr>
          <w:rFonts w:asciiTheme="minorHAnsi" w:hAnsiTheme="minorHAnsi" w:cstheme="minorHAnsi"/>
          <w:lang w:val="en-US"/>
        </w:rPr>
        <w:t xml:space="preserve">rrest </w:t>
      </w:r>
      <w:r w:rsidR="00D64E5C">
        <w:rPr>
          <w:rFonts w:asciiTheme="minorHAnsi" w:hAnsiTheme="minorHAnsi" w:cstheme="minorHAnsi"/>
          <w:lang w:val="en-US"/>
        </w:rPr>
        <w:t>w</w:t>
      </w:r>
      <w:r w:rsidR="00C76AD9" w:rsidRPr="00533D7F">
        <w:rPr>
          <w:rFonts w:asciiTheme="minorHAnsi" w:hAnsiTheme="minorHAnsi" w:cstheme="minorHAnsi"/>
          <w:lang w:val="en-US"/>
        </w:rPr>
        <w:t>arrants in 2004</w:t>
      </w:r>
      <w:r w:rsidR="00242EA4" w:rsidRPr="00533D7F">
        <w:rPr>
          <w:rFonts w:asciiTheme="minorHAnsi" w:hAnsiTheme="minorHAnsi" w:cstheme="minorHAnsi"/>
          <w:lang w:val="en-US"/>
        </w:rPr>
        <w:t xml:space="preserve"> and</w:t>
      </w:r>
      <w:r w:rsidR="00C76AD9" w:rsidRPr="00533D7F">
        <w:rPr>
          <w:rFonts w:asciiTheme="minorHAnsi" w:hAnsiTheme="minorHAnsi" w:cstheme="minorHAnsi"/>
          <w:lang w:val="en-US"/>
        </w:rPr>
        <w:t xml:space="preserve"> 2005 to get h</w:t>
      </w:r>
      <w:r w:rsidR="004E090D" w:rsidRPr="00533D7F">
        <w:rPr>
          <w:rFonts w:asciiTheme="minorHAnsi" w:hAnsiTheme="minorHAnsi" w:cstheme="minorHAnsi"/>
          <w:lang w:val="en-US"/>
        </w:rPr>
        <w:t>er</w:t>
      </w:r>
      <w:r w:rsidR="00C76AD9" w:rsidRPr="00533D7F">
        <w:rPr>
          <w:rFonts w:asciiTheme="minorHAnsi" w:hAnsiTheme="minorHAnsi" w:cstheme="minorHAnsi"/>
          <w:lang w:val="en-US"/>
        </w:rPr>
        <w:t xml:space="preserve"> back</w:t>
      </w:r>
      <w:r w:rsidR="00771EB8" w:rsidRPr="00533D7F">
        <w:rPr>
          <w:rFonts w:asciiTheme="minorHAnsi" w:hAnsiTheme="minorHAnsi" w:cstheme="minorHAnsi"/>
          <w:lang w:val="en-US"/>
        </w:rPr>
        <w:t xml:space="preserve">, but these were </w:t>
      </w:r>
      <w:r w:rsidR="00A80C0B" w:rsidRPr="00533D7F">
        <w:rPr>
          <w:rFonts w:asciiTheme="minorHAnsi" w:hAnsiTheme="minorHAnsi" w:cstheme="minorHAnsi"/>
          <w:lang w:val="en-US"/>
        </w:rPr>
        <w:t>both</w:t>
      </w:r>
      <w:r w:rsidR="00771EB8" w:rsidRPr="00533D7F">
        <w:rPr>
          <w:rFonts w:asciiTheme="minorHAnsi" w:hAnsiTheme="minorHAnsi" w:cstheme="minorHAnsi"/>
          <w:lang w:val="en-US"/>
        </w:rPr>
        <w:t xml:space="preserve"> turned down because the Indictments Division of the Belgian Court considered that there were good reasons to believe that, should </w:t>
      </w:r>
      <w:r w:rsidR="00EA1E2D">
        <w:rPr>
          <w:rFonts w:asciiTheme="minorHAnsi" w:hAnsiTheme="minorHAnsi" w:cstheme="minorHAnsi"/>
          <w:lang w:val="en-US"/>
        </w:rPr>
        <w:t>s</w:t>
      </w:r>
      <w:r w:rsidR="00771EB8" w:rsidRPr="00533D7F">
        <w:rPr>
          <w:rFonts w:asciiTheme="minorHAnsi" w:hAnsiTheme="minorHAnsi" w:cstheme="minorHAnsi"/>
          <w:lang w:val="en-US"/>
        </w:rPr>
        <w:t xml:space="preserve">he be surrendered back to Spain, the fundamental rights of N.J.E. would be </w:t>
      </w:r>
      <w:proofErr w:type="spellStart"/>
      <w:r w:rsidR="00F41367" w:rsidRPr="00533D7F">
        <w:rPr>
          <w:rFonts w:asciiTheme="minorHAnsi" w:hAnsiTheme="minorHAnsi" w:cstheme="minorHAnsi"/>
          <w:lang w:val="en-US"/>
        </w:rPr>
        <w:t>jeopardised</w:t>
      </w:r>
      <w:proofErr w:type="spellEnd"/>
      <w:r w:rsidR="00771EB8" w:rsidRPr="00533D7F">
        <w:rPr>
          <w:rFonts w:asciiTheme="minorHAnsi" w:hAnsiTheme="minorHAnsi" w:cstheme="minorHAnsi"/>
          <w:lang w:val="en-US"/>
        </w:rPr>
        <w:t>.</w:t>
      </w:r>
      <w:r w:rsidR="00242EA4" w:rsidRPr="00533D7F">
        <w:rPr>
          <w:rStyle w:val="Appelnotedebasdep"/>
          <w:rFonts w:asciiTheme="minorHAnsi" w:hAnsiTheme="minorHAnsi" w:cstheme="minorHAnsi"/>
          <w:lang w:val="en-US"/>
        </w:rPr>
        <w:footnoteReference w:id="57"/>
      </w:r>
      <w:r w:rsidR="00F41367" w:rsidRPr="00533D7F">
        <w:rPr>
          <w:rFonts w:asciiTheme="minorHAnsi" w:hAnsiTheme="minorHAnsi" w:cstheme="minorHAnsi"/>
          <w:lang w:val="en-US"/>
        </w:rPr>
        <w:t xml:space="preserve"> The Indictments </w:t>
      </w:r>
      <w:r w:rsidR="00B36725" w:rsidRPr="00533D7F">
        <w:rPr>
          <w:rFonts w:asciiTheme="minorHAnsi" w:hAnsiTheme="minorHAnsi" w:cstheme="minorHAnsi"/>
          <w:lang w:val="en-US"/>
        </w:rPr>
        <w:t>Division</w:t>
      </w:r>
      <w:r w:rsidR="00F41367" w:rsidRPr="00533D7F">
        <w:rPr>
          <w:rFonts w:asciiTheme="minorHAnsi" w:hAnsiTheme="minorHAnsi" w:cstheme="minorHAnsi"/>
          <w:lang w:val="en-US"/>
        </w:rPr>
        <w:t xml:space="preserve"> indeed argued that</w:t>
      </w:r>
      <w:r w:rsidR="00463744">
        <w:rPr>
          <w:rFonts w:asciiTheme="minorHAnsi" w:hAnsiTheme="minorHAnsi" w:cstheme="minorHAnsi"/>
          <w:lang w:val="en-US"/>
        </w:rPr>
        <w:t>:</w:t>
      </w:r>
    </w:p>
    <w:p w14:paraId="738A8D64" w14:textId="77777777" w:rsidR="001C4C5A" w:rsidRPr="00533D7F" w:rsidRDefault="001C4C5A" w:rsidP="00F41367">
      <w:pPr>
        <w:autoSpaceDE w:val="0"/>
        <w:autoSpaceDN w:val="0"/>
        <w:adjustRightInd w:val="0"/>
        <w:jc w:val="both"/>
        <w:rPr>
          <w:rFonts w:asciiTheme="minorHAnsi" w:hAnsiTheme="minorHAnsi" w:cstheme="minorHAnsi"/>
          <w:lang w:val="en-US"/>
        </w:rPr>
      </w:pPr>
    </w:p>
    <w:p w14:paraId="414C112B" w14:textId="255F2AD1" w:rsidR="001C4C5A" w:rsidRPr="00533D7F" w:rsidRDefault="00F41367" w:rsidP="001C4C5A">
      <w:pPr>
        <w:autoSpaceDE w:val="0"/>
        <w:autoSpaceDN w:val="0"/>
        <w:adjustRightInd w:val="0"/>
        <w:ind w:left="851"/>
        <w:jc w:val="both"/>
        <w:rPr>
          <w:rFonts w:asciiTheme="minorHAnsi" w:eastAsiaTheme="minorHAnsi" w:hAnsiTheme="minorHAnsi" w:cstheme="minorHAnsi"/>
          <w:i/>
          <w:iCs/>
          <w:sz w:val="21"/>
          <w:szCs w:val="21"/>
          <w:lang w:val="en-US" w:eastAsia="en-US"/>
        </w:rPr>
      </w:pPr>
      <w:r w:rsidRPr="00533D7F">
        <w:rPr>
          <w:rFonts w:asciiTheme="minorHAnsi" w:hAnsiTheme="minorHAnsi" w:cstheme="minorHAnsi"/>
          <w:i/>
          <w:iCs/>
          <w:sz w:val="21"/>
          <w:szCs w:val="21"/>
          <w:lang w:val="en-US"/>
        </w:rPr>
        <w:t xml:space="preserve"> “</w:t>
      </w:r>
      <w:r w:rsidRPr="00533D7F">
        <w:rPr>
          <w:rFonts w:asciiTheme="minorHAnsi" w:eastAsiaTheme="minorHAnsi" w:hAnsiTheme="minorHAnsi" w:cstheme="minorHAnsi"/>
          <w:i/>
          <w:iCs/>
          <w:sz w:val="21"/>
          <w:szCs w:val="21"/>
          <w:lang w:val="en-US" w:eastAsia="en-US"/>
        </w:rPr>
        <w:t>the punishable acts needed to be viewed in the broader context of Spain’s contemporary political history and the personal background of N.J.E., who, having been active in the “Basque armed resistance movement” in her twenties, was now a 55-year-old professional woman living a normal life in Ghent. Furthermore, basing its finding in particular on a report by the European Committee for the Prevention of Torture (CPT) concerning the latter’s periodic visit to Spain from 31 May to 13 June 2011, the Indictments Division held that there were substantial reasons for believing that execution of the European arrest warrant would infringe N.J.E.’s fundamental rights under Article 6 of the Treaty on European Union.</w:t>
      </w:r>
      <w:r w:rsidRPr="00533D7F">
        <w:rPr>
          <w:rFonts w:asciiTheme="minorHAnsi" w:hAnsiTheme="minorHAnsi" w:cstheme="minorHAnsi"/>
          <w:i/>
          <w:iCs/>
          <w:sz w:val="21"/>
          <w:szCs w:val="21"/>
          <w:lang w:val="en-US"/>
        </w:rPr>
        <w:t>”</w:t>
      </w:r>
      <w:r w:rsidRPr="00533D7F">
        <w:rPr>
          <w:rStyle w:val="Appelnotedebasdep"/>
          <w:rFonts w:asciiTheme="minorHAnsi" w:hAnsiTheme="minorHAnsi" w:cstheme="minorHAnsi"/>
          <w:i/>
          <w:iCs/>
          <w:sz w:val="21"/>
          <w:szCs w:val="21"/>
          <w:lang w:val="en-US"/>
        </w:rPr>
        <w:footnoteReference w:id="58"/>
      </w:r>
      <w:r w:rsidR="00DA6B57" w:rsidRPr="00533D7F">
        <w:rPr>
          <w:rFonts w:asciiTheme="minorHAnsi" w:hAnsiTheme="minorHAnsi" w:cstheme="minorHAnsi"/>
          <w:i/>
          <w:iCs/>
          <w:sz w:val="21"/>
          <w:szCs w:val="21"/>
          <w:lang w:val="en-US"/>
        </w:rPr>
        <w:t xml:space="preserve"> </w:t>
      </w:r>
    </w:p>
    <w:p w14:paraId="6AA2F75F" w14:textId="77777777" w:rsidR="001C4C5A" w:rsidRPr="00533D7F" w:rsidRDefault="001C4C5A" w:rsidP="00F41367">
      <w:pPr>
        <w:autoSpaceDE w:val="0"/>
        <w:autoSpaceDN w:val="0"/>
        <w:adjustRightInd w:val="0"/>
        <w:jc w:val="both"/>
        <w:rPr>
          <w:rFonts w:asciiTheme="minorHAnsi" w:hAnsiTheme="minorHAnsi" w:cstheme="minorHAnsi"/>
          <w:lang w:val="en-US"/>
        </w:rPr>
      </w:pPr>
    </w:p>
    <w:p w14:paraId="41A32560" w14:textId="7C790954" w:rsidR="005E1206" w:rsidRPr="00533D7F" w:rsidRDefault="00DA6B57" w:rsidP="005E1206">
      <w:pPr>
        <w:autoSpaceDE w:val="0"/>
        <w:autoSpaceDN w:val="0"/>
        <w:adjustRightInd w:val="0"/>
        <w:jc w:val="both"/>
        <w:rPr>
          <w:rFonts w:asciiTheme="minorHAnsi" w:hAnsiTheme="minorHAnsi" w:cstheme="minorHAnsi"/>
          <w:lang w:val="en-US"/>
        </w:rPr>
      </w:pPr>
      <w:r w:rsidRPr="00533D7F">
        <w:rPr>
          <w:rFonts w:asciiTheme="minorHAnsi" w:hAnsiTheme="minorHAnsi" w:cstheme="minorHAnsi"/>
          <w:lang w:val="en-US"/>
        </w:rPr>
        <w:t>The Belgian Federal Prosecutor’s Office appealed specific points of th</w:t>
      </w:r>
      <w:r w:rsidR="005E1206" w:rsidRPr="00533D7F">
        <w:rPr>
          <w:rFonts w:asciiTheme="minorHAnsi" w:hAnsiTheme="minorHAnsi" w:cstheme="minorHAnsi"/>
          <w:lang w:val="en-US"/>
        </w:rPr>
        <w:t>e</w:t>
      </w:r>
      <w:r w:rsidRPr="00533D7F">
        <w:rPr>
          <w:rFonts w:asciiTheme="minorHAnsi" w:hAnsiTheme="minorHAnsi" w:cstheme="minorHAnsi"/>
          <w:lang w:val="en-US"/>
        </w:rPr>
        <w:t xml:space="preserve"> decision,</w:t>
      </w:r>
      <w:r w:rsidR="005E1206" w:rsidRPr="00533D7F">
        <w:rPr>
          <w:rFonts w:asciiTheme="minorHAnsi" w:hAnsiTheme="minorHAnsi" w:cstheme="minorHAnsi"/>
          <w:lang w:val="en-US"/>
        </w:rPr>
        <w:t xml:space="preserve"> and more specifically insisted on the principle of mutual trust governing the relations of EU Member States</w:t>
      </w:r>
      <w:r w:rsidR="00F91FD3">
        <w:rPr>
          <w:rFonts w:asciiTheme="minorHAnsi" w:hAnsiTheme="minorHAnsi" w:cstheme="minorHAnsi"/>
          <w:lang w:val="en-US"/>
        </w:rPr>
        <w:t xml:space="preserve">. </w:t>
      </w:r>
      <w:r w:rsidR="007755E0" w:rsidRPr="007755E0">
        <w:rPr>
          <w:rFonts w:asciiTheme="minorHAnsi" w:hAnsiTheme="minorHAnsi" w:cstheme="minorHAnsi"/>
          <w:lang w:val="en-US"/>
        </w:rPr>
        <w:t>In simple terms, t</w:t>
      </w:r>
      <w:r w:rsidR="00F91FD3" w:rsidRPr="007755E0">
        <w:rPr>
          <w:rFonts w:asciiTheme="minorHAnsi" w:hAnsiTheme="minorHAnsi" w:cstheme="minorHAnsi"/>
          <w:lang w:val="en-US"/>
        </w:rPr>
        <w:t>h</w:t>
      </w:r>
      <w:r w:rsidR="007755E0" w:rsidRPr="007755E0">
        <w:rPr>
          <w:rFonts w:asciiTheme="minorHAnsi" w:hAnsiTheme="minorHAnsi" w:cstheme="minorHAnsi"/>
          <w:lang w:val="en-US"/>
        </w:rPr>
        <w:t>is</w:t>
      </w:r>
      <w:r w:rsidR="00F91FD3" w:rsidRPr="007755E0">
        <w:rPr>
          <w:rFonts w:asciiTheme="minorHAnsi" w:hAnsiTheme="minorHAnsi" w:cstheme="minorHAnsi"/>
          <w:lang w:val="en-US"/>
        </w:rPr>
        <w:t xml:space="preserve"> </w:t>
      </w:r>
      <w:r w:rsidR="00E54271" w:rsidRPr="007755E0">
        <w:rPr>
          <w:rFonts w:asciiTheme="minorHAnsi" w:hAnsiTheme="minorHAnsi" w:cstheme="minorHAnsi"/>
          <w:lang w:val="en-US"/>
        </w:rPr>
        <w:t xml:space="preserve">principle implies that </w:t>
      </w:r>
      <w:r w:rsidR="00771267" w:rsidRPr="007755E0">
        <w:rPr>
          <w:rFonts w:asciiTheme="minorHAnsi" w:hAnsiTheme="minorHAnsi" w:cstheme="minorHAnsi"/>
          <w:lang w:val="en-US"/>
        </w:rPr>
        <w:t>Member States trust that the founding values of the EU, one of which being the respect of fundamental rights,</w:t>
      </w:r>
      <w:r w:rsidR="00771267" w:rsidRPr="007755E0">
        <w:rPr>
          <w:rStyle w:val="Appelnotedebasdep"/>
          <w:rFonts w:asciiTheme="minorHAnsi" w:hAnsiTheme="minorHAnsi" w:cstheme="minorHAnsi"/>
          <w:lang w:val="en-US"/>
        </w:rPr>
        <w:footnoteReference w:id="59"/>
      </w:r>
      <w:r w:rsidR="00771267" w:rsidRPr="007755E0">
        <w:rPr>
          <w:rFonts w:asciiTheme="minorHAnsi" w:hAnsiTheme="minorHAnsi" w:cstheme="minorHAnsi"/>
          <w:lang w:val="en-US"/>
        </w:rPr>
        <w:t xml:space="preserve"> are shared and upheld by all of the EU Member States.</w:t>
      </w:r>
      <w:r w:rsidR="00771267" w:rsidRPr="007755E0">
        <w:rPr>
          <w:rStyle w:val="Appelnotedebasdep"/>
          <w:rFonts w:asciiTheme="minorHAnsi" w:hAnsiTheme="minorHAnsi" w:cstheme="minorHAnsi"/>
          <w:lang w:val="en-US"/>
        </w:rPr>
        <w:footnoteReference w:id="60"/>
      </w:r>
      <w:r w:rsidR="00E5581B">
        <w:rPr>
          <w:rFonts w:asciiTheme="minorHAnsi" w:hAnsiTheme="minorHAnsi" w:cstheme="minorHAnsi"/>
          <w:lang w:val="en-US"/>
        </w:rPr>
        <w:t xml:space="preserve"> </w:t>
      </w:r>
      <w:r w:rsidR="00E54271" w:rsidRPr="007755E0">
        <w:rPr>
          <w:rFonts w:asciiTheme="minorHAnsi" w:hAnsiTheme="minorHAnsi" w:cstheme="minorHAnsi"/>
          <w:lang w:val="en-US"/>
        </w:rPr>
        <w:t>Judicial cooperation between Member States is therefore meant to work smoothly</w:t>
      </w:r>
      <w:r w:rsidR="00006D2B" w:rsidRPr="007755E0">
        <w:rPr>
          <w:rFonts w:asciiTheme="minorHAnsi" w:hAnsiTheme="minorHAnsi" w:cstheme="minorHAnsi"/>
          <w:lang w:val="en-US"/>
        </w:rPr>
        <w:t>,</w:t>
      </w:r>
      <w:r w:rsidR="00E54271" w:rsidRPr="007755E0">
        <w:rPr>
          <w:rFonts w:asciiTheme="minorHAnsi" w:hAnsiTheme="minorHAnsi" w:cstheme="minorHAnsi"/>
          <w:lang w:val="en-US"/>
        </w:rPr>
        <w:t xml:space="preserve"> </w:t>
      </w:r>
      <w:r w:rsidR="00A15145" w:rsidRPr="007755E0">
        <w:rPr>
          <w:rFonts w:asciiTheme="minorHAnsi" w:hAnsiTheme="minorHAnsi" w:cstheme="minorHAnsi"/>
          <w:lang w:val="en-US"/>
        </w:rPr>
        <w:t xml:space="preserve">and </w:t>
      </w:r>
      <w:r w:rsidR="00006D2B" w:rsidRPr="007755E0">
        <w:rPr>
          <w:rFonts w:asciiTheme="minorHAnsi" w:hAnsiTheme="minorHAnsi" w:cstheme="minorHAnsi"/>
          <w:lang w:val="en-US"/>
        </w:rPr>
        <w:t>the Court insisted</w:t>
      </w:r>
      <w:r w:rsidR="00A15145" w:rsidRPr="007755E0">
        <w:rPr>
          <w:rFonts w:asciiTheme="minorHAnsi" w:hAnsiTheme="minorHAnsi" w:cstheme="minorHAnsi"/>
          <w:lang w:val="en-US"/>
        </w:rPr>
        <w:t xml:space="preserve"> that only</w:t>
      </w:r>
      <w:r w:rsidR="00006D2B" w:rsidRPr="007755E0">
        <w:rPr>
          <w:rFonts w:asciiTheme="minorHAnsi" w:hAnsiTheme="minorHAnsi" w:cstheme="minorHAnsi"/>
          <w:lang w:val="en-US"/>
        </w:rPr>
        <w:t xml:space="preserve"> </w:t>
      </w:r>
      <w:r w:rsidR="0035768B" w:rsidRPr="007755E0">
        <w:rPr>
          <w:rFonts w:asciiTheme="minorHAnsi" w:hAnsiTheme="minorHAnsi" w:cstheme="minorHAnsi"/>
          <w:lang w:val="en-US"/>
        </w:rPr>
        <w:t xml:space="preserve">substantiated evidence about the risk of </w:t>
      </w:r>
      <w:r w:rsidR="003313FA">
        <w:rPr>
          <w:rFonts w:asciiTheme="minorHAnsi" w:hAnsiTheme="minorHAnsi" w:cstheme="minorHAnsi"/>
          <w:lang w:val="en-US"/>
        </w:rPr>
        <w:t xml:space="preserve">a </w:t>
      </w:r>
      <w:r w:rsidR="0035768B" w:rsidRPr="007755E0">
        <w:rPr>
          <w:rFonts w:asciiTheme="minorHAnsi" w:hAnsiTheme="minorHAnsi" w:cstheme="minorHAnsi"/>
          <w:lang w:val="en-US"/>
        </w:rPr>
        <w:t>fundamental rights violation</w:t>
      </w:r>
      <w:r w:rsidR="001612CE">
        <w:rPr>
          <w:rFonts w:asciiTheme="minorHAnsi" w:hAnsiTheme="minorHAnsi" w:cstheme="minorHAnsi"/>
          <w:lang w:val="en-US"/>
        </w:rPr>
        <w:t xml:space="preserve"> </w:t>
      </w:r>
      <w:r w:rsidR="003313FA">
        <w:rPr>
          <w:rFonts w:asciiTheme="minorHAnsi" w:hAnsiTheme="minorHAnsi" w:cstheme="minorHAnsi"/>
          <w:lang w:val="en-US"/>
        </w:rPr>
        <w:t>will</w:t>
      </w:r>
      <w:r w:rsidR="001612CE">
        <w:rPr>
          <w:rFonts w:asciiTheme="minorHAnsi" w:hAnsiTheme="minorHAnsi" w:cstheme="minorHAnsi"/>
          <w:lang w:val="en-US"/>
        </w:rPr>
        <w:t xml:space="preserve"> </w:t>
      </w:r>
      <w:r w:rsidR="0035768B" w:rsidRPr="007755E0">
        <w:rPr>
          <w:rFonts w:asciiTheme="minorHAnsi" w:hAnsiTheme="minorHAnsi" w:cstheme="minorHAnsi"/>
          <w:lang w:val="en-US"/>
        </w:rPr>
        <w:t>call into question the presumption of observance of fundamental rights</w:t>
      </w:r>
      <w:r w:rsidR="00A15145" w:rsidRPr="007755E0">
        <w:rPr>
          <w:rFonts w:asciiTheme="minorHAnsi" w:hAnsiTheme="minorHAnsi" w:cstheme="minorHAnsi"/>
          <w:lang w:val="en-US"/>
        </w:rPr>
        <w:t>, and</w:t>
      </w:r>
      <w:r w:rsidR="00BA79AE" w:rsidRPr="00BA79AE">
        <w:rPr>
          <w:rFonts w:asciiTheme="minorHAnsi" w:hAnsiTheme="minorHAnsi" w:cstheme="minorHAnsi"/>
          <w:lang w:val="en-US"/>
        </w:rPr>
        <w:t xml:space="preserve"> </w:t>
      </w:r>
      <w:r w:rsidR="00BA79AE">
        <w:rPr>
          <w:rFonts w:asciiTheme="minorHAnsi" w:hAnsiTheme="minorHAnsi" w:cstheme="minorHAnsi"/>
          <w:lang w:val="en-US"/>
        </w:rPr>
        <w:t>has</w:t>
      </w:r>
      <w:r w:rsidR="00A15145" w:rsidRPr="007755E0">
        <w:rPr>
          <w:rFonts w:asciiTheme="minorHAnsi" w:hAnsiTheme="minorHAnsi" w:cstheme="minorHAnsi"/>
          <w:lang w:val="en-US"/>
        </w:rPr>
        <w:t xml:space="preserve"> therefore </w:t>
      </w:r>
      <w:r w:rsidR="003313FA">
        <w:rPr>
          <w:rFonts w:asciiTheme="minorHAnsi" w:hAnsiTheme="minorHAnsi" w:cstheme="minorHAnsi"/>
          <w:lang w:val="en-US"/>
        </w:rPr>
        <w:t>the potential</w:t>
      </w:r>
      <w:r w:rsidR="00A15145" w:rsidRPr="007755E0">
        <w:rPr>
          <w:rFonts w:asciiTheme="minorHAnsi" w:hAnsiTheme="minorHAnsi" w:cstheme="minorHAnsi"/>
          <w:lang w:val="en-US"/>
        </w:rPr>
        <w:t xml:space="preserve"> </w:t>
      </w:r>
      <w:r w:rsidR="003313FA">
        <w:rPr>
          <w:rFonts w:asciiTheme="minorHAnsi" w:hAnsiTheme="minorHAnsi" w:cstheme="minorHAnsi"/>
          <w:lang w:val="en-US"/>
        </w:rPr>
        <w:t xml:space="preserve">of </w:t>
      </w:r>
      <w:r w:rsidR="00A15145" w:rsidRPr="007755E0">
        <w:rPr>
          <w:rFonts w:asciiTheme="minorHAnsi" w:hAnsiTheme="minorHAnsi" w:cstheme="minorHAnsi"/>
          <w:lang w:val="en-US"/>
        </w:rPr>
        <w:t>halt</w:t>
      </w:r>
      <w:r w:rsidR="003313FA">
        <w:rPr>
          <w:rFonts w:asciiTheme="minorHAnsi" w:hAnsiTheme="minorHAnsi" w:cstheme="minorHAnsi"/>
          <w:lang w:val="en-US"/>
        </w:rPr>
        <w:t>ing</w:t>
      </w:r>
      <w:r w:rsidR="001612CE">
        <w:rPr>
          <w:rFonts w:asciiTheme="minorHAnsi" w:hAnsiTheme="minorHAnsi" w:cstheme="minorHAnsi"/>
          <w:lang w:val="en-US"/>
        </w:rPr>
        <w:t xml:space="preserve">  </w:t>
      </w:r>
      <w:r w:rsidR="00A15145" w:rsidRPr="007755E0">
        <w:rPr>
          <w:rFonts w:asciiTheme="minorHAnsi" w:hAnsiTheme="minorHAnsi" w:cstheme="minorHAnsi"/>
          <w:lang w:val="en-US"/>
        </w:rPr>
        <w:t>cooperation</w:t>
      </w:r>
      <w:r w:rsidR="0035768B" w:rsidRPr="00533D7F">
        <w:rPr>
          <w:rFonts w:asciiTheme="minorHAnsi" w:hAnsiTheme="minorHAnsi" w:cstheme="minorHAnsi"/>
          <w:lang w:val="en-US"/>
        </w:rPr>
        <w:t>.</w:t>
      </w:r>
      <w:r w:rsidR="0035768B" w:rsidRPr="00533D7F">
        <w:rPr>
          <w:rStyle w:val="Appelnotedebasdep"/>
          <w:rFonts w:asciiTheme="minorHAnsi" w:hAnsiTheme="minorHAnsi" w:cstheme="minorHAnsi"/>
          <w:lang w:val="en-US"/>
        </w:rPr>
        <w:footnoteReference w:id="61"/>
      </w:r>
    </w:p>
    <w:p w14:paraId="16274E1A" w14:textId="77777777" w:rsidR="005E1206" w:rsidRPr="00533D7F" w:rsidRDefault="005E1206" w:rsidP="005E1206">
      <w:pPr>
        <w:autoSpaceDE w:val="0"/>
        <w:autoSpaceDN w:val="0"/>
        <w:adjustRightInd w:val="0"/>
        <w:jc w:val="both"/>
        <w:rPr>
          <w:rFonts w:asciiTheme="minorHAnsi" w:hAnsiTheme="minorHAnsi" w:cstheme="minorHAnsi"/>
          <w:lang w:val="en-US"/>
        </w:rPr>
      </w:pPr>
    </w:p>
    <w:p w14:paraId="4144D8F2" w14:textId="5F4FC367" w:rsidR="005E1206" w:rsidRPr="00533D7F" w:rsidRDefault="00DA6B57" w:rsidP="005E1206">
      <w:pPr>
        <w:autoSpaceDE w:val="0"/>
        <w:autoSpaceDN w:val="0"/>
        <w:adjustRightInd w:val="0"/>
        <w:jc w:val="both"/>
        <w:rPr>
          <w:rFonts w:asciiTheme="minorHAnsi" w:hAnsiTheme="minorHAnsi" w:cstheme="minorHAnsi"/>
          <w:i/>
          <w:iCs/>
          <w:sz w:val="21"/>
          <w:szCs w:val="21"/>
          <w:lang w:val="en-US"/>
        </w:rPr>
      </w:pPr>
      <w:r w:rsidRPr="00533D7F">
        <w:rPr>
          <w:rFonts w:asciiTheme="minorHAnsi" w:hAnsiTheme="minorHAnsi" w:cstheme="minorHAnsi"/>
          <w:lang w:val="en-US"/>
        </w:rPr>
        <w:t xml:space="preserve"> </w:t>
      </w:r>
      <w:r w:rsidR="00242EA4" w:rsidRPr="00533D7F">
        <w:rPr>
          <w:rFonts w:asciiTheme="minorHAnsi" w:hAnsiTheme="minorHAnsi" w:cstheme="minorHAnsi"/>
          <w:lang w:val="en-US"/>
        </w:rPr>
        <w:t>T</w:t>
      </w:r>
      <w:r w:rsidRPr="00533D7F">
        <w:rPr>
          <w:rFonts w:asciiTheme="minorHAnsi" w:hAnsiTheme="minorHAnsi" w:cstheme="minorHAnsi"/>
          <w:lang w:val="en-US"/>
        </w:rPr>
        <w:t xml:space="preserve">he </w:t>
      </w:r>
      <w:r w:rsidR="001001A3">
        <w:rPr>
          <w:rFonts w:asciiTheme="minorHAnsi" w:hAnsiTheme="minorHAnsi" w:cstheme="minorHAnsi"/>
          <w:lang w:val="en-US"/>
        </w:rPr>
        <w:t xml:space="preserve">Belgian </w:t>
      </w:r>
      <w:r w:rsidRPr="00533D7F">
        <w:rPr>
          <w:rFonts w:asciiTheme="minorHAnsi" w:hAnsiTheme="minorHAnsi" w:cstheme="minorHAnsi"/>
          <w:lang w:val="en-US"/>
        </w:rPr>
        <w:t>Court of Cassation</w:t>
      </w:r>
      <w:r w:rsidR="00242EA4" w:rsidRPr="00533D7F">
        <w:rPr>
          <w:rFonts w:asciiTheme="minorHAnsi" w:hAnsiTheme="minorHAnsi" w:cstheme="minorHAnsi"/>
          <w:lang w:val="en-US"/>
        </w:rPr>
        <w:t>, however,</w:t>
      </w:r>
      <w:r w:rsidRPr="00533D7F">
        <w:rPr>
          <w:rFonts w:asciiTheme="minorHAnsi" w:hAnsiTheme="minorHAnsi" w:cstheme="minorHAnsi"/>
          <w:lang w:val="en-US"/>
        </w:rPr>
        <w:t xml:space="preserve"> dismissed th</w:t>
      </w:r>
      <w:r w:rsidR="005E1206" w:rsidRPr="00533D7F">
        <w:rPr>
          <w:rFonts w:asciiTheme="minorHAnsi" w:hAnsiTheme="minorHAnsi" w:cstheme="minorHAnsi"/>
          <w:lang w:val="en-US"/>
        </w:rPr>
        <w:t>e</w:t>
      </w:r>
      <w:r w:rsidRPr="00533D7F">
        <w:rPr>
          <w:rFonts w:asciiTheme="minorHAnsi" w:hAnsiTheme="minorHAnsi" w:cstheme="minorHAnsi"/>
          <w:lang w:val="en-US"/>
        </w:rPr>
        <w:t xml:space="preserve"> appeal in 2013</w:t>
      </w:r>
      <w:r w:rsidR="005E1206" w:rsidRPr="00533D7F">
        <w:rPr>
          <w:rFonts w:asciiTheme="minorHAnsi" w:hAnsiTheme="minorHAnsi" w:cstheme="minorHAnsi"/>
          <w:lang w:val="en-US"/>
        </w:rPr>
        <w:t>, arguing that</w:t>
      </w:r>
      <w:r w:rsidR="00FF70EE" w:rsidRPr="00533D7F">
        <w:rPr>
          <w:rFonts w:asciiTheme="minorHAnsi" w:hAnsiTheme="minorHAnsi" w:cstheme="minorHAnsi"/>
          <w:lang w:val="en-US"/>
        </w:rPr>
        <w:t>,</w:t>
      </w:r>
      <w:r w:rsidR="005E1206" w:rsidRPr="00533D7F">
        <w:rPr>
          <w:rFonts w:asciiTheme="minorHAnsi" w:hAnsiTheme="minorHAnsi" w:cstheme="minorHAnsi"/>
          <w:lang w:val="en-US"/>
        </w:rPr>
        <w:t xml:space="preserve"> based on the 2011 report of the European Committee for the Prevention </w:t>
      </w:r>
      <w:r w:rsidR="005E1206" w:rsidRPr="00533D7F">
        <w:rPr>
          <w:rFonts w:asciiTheme="minorHAnsi" w:eastAsiaTheme="minorHAnsi" w:hAnsiTheme="minorHAnsi" w:cstheme="minorHAnsi"/>
          <w:lang w:val="en-US" w:eastAsia="en-US"/>
        </w:rPr>
        <w:t>of Torture and Inhuman or Degrading Treatment or Punishment of the Council of Europe,</w:t>
      </w:r>
      <w:r w:rsidR="005E1206" w:rsidRPr="00533D7F">
        <w:rPr>
          <w:rFonts w:asciiTheme="minorHAnsi" w:hAnsiTheme="minorHAnsi" w:cstheme="minorHAnsi"/>
          <w:lang w:val="en-US"/>
        </w:rPr>
        <w:t xml:space="preserve"> there were indeed</w:t>
      </w:r>
    </w:p>
    <w:p w14:paraId="09438BCB" w14:textId="77777777" w:rsidR="005E1206" w:rsidRPr="00533D7F" w:rsidRDefault="005E1206" w:rsidP="005E1206">
      <w:pPr>
        <w:autoSpaceDE w:val="0"/>
        <w:autoSpaceDN w:val="0"/>
        <w:adjustRightInd w:val="0"/>
        <w:ind w:left="851"/>
        <w:jc w:val="both"/>
        <w:rPr>
          <w:rFonts w:asciiTheme="minorHAnsi" w:hAnsiTheme="minorHAnsi" w:cstheme="minorHAnsi"/>
          <w:i/>
          <w:iCs/>
          <w:sz w:val="21"/>
          <w:szCs w:val="21"/>
          <w:lang w:val="en-US"/>
        </w:rPr>
      </w:pPr>
    </w:p>
    <w:p w14:paraId="7F568FFB" w14:textId="6697A03B" w:rsidR="005E1206" w:rsidRPr="00533D7F" w:rsidRDefault="005E1206" w:rsidP="005E1206">
      <w:pPr>
        <w:autoSpaceDE w:val="0"/>
        <w:autoSpaceDN w:val="0"/>
        <w:adjustRightInd w:val="0"/>
        <w:ind w:left="851"/>
        <w:jc w:val="both"/>
        <w:rPr>
          <w:rFonts w:asciiTheme="minorHAnsi" w:hAnsiTheme="minorHAnsi" w:cstheme="minorHAnsi"/>
          <w:lang w:val="en-US"/>
        </w:rPr>
      </w:pPr>
      <w:r w:rsidRPr="00533D7F">
        <w:rPr>
          <w:rFonts w:asciiTheme="minorHAnsi" w:hAnsiTheme="minorHAnsi" w:cstheme="minorHAnsi"/>
          <w:i/>
          <w:iCs/>
          <w:sz w:val="21"/>
          <w:szCs w:val="21"/>
          <w:lang w:val="en-US"/>
        </w:rPr>
        <w:t>“</w:t>
      </w:r>
      <w:r w:rsidRPr="00533D7F">
        <w:rPr>
          <w:rFonts w:asciiTheme="minorHAnsi" w:eastAsiaTheme="minorHAnsi" w:hAnsiTheme="minorHAnsi" w:cstheme="minorHAnsi"/>
          <w:i/>
          <w:iCs/>
          <w:sz w:val="21"/>
          <w:szCs w:val="21"/>
          <w:lang w:val="en-US" w:eastAsia="en-US"/>
        </w:rPr>
        <w:t>substantial reasons for believing that the execution of the European arrest warrants would infringe the defendant’s fundamental rights because</w:t>
      </w:r>
      <w:r w:rsidR="00E938B0" w:rsidRPr="00533D7F">
        <w:rPr>
          <w:rFonts w:asciiTheme="minorHAnsi" w:eastAsiaTheme="minorHAnsi" w:hAnsiTheme="minorHAnsi" w:cstheme="minorHAnsi"/>
          <w:i/>
          <w:iCs/>
          <w:sz w:val="21"/>
          <w:szCs w:val="21"/>
          <w:lang w:val="en-US" w:eastAsia="en-US"/>
        </w:rPr>
        <w:t xml:space="preserve"> </w:t>
      </w:r>
      <w:r w:rsidRPr="00533D7F">
        <w:rPr>
          <w:rFonts w:asciiTheme="minorHAnsi" w:eastAsiaTheme="minorHAnsi" w:hAnsiTheme="minorHAnsi" w:cstheme="minorHAnsi"/>
          <w:i/>
          <w:iCs/>
          <w:sz w:val="21"/>
          <w:szCs w:val="21"/>
          <w:lang w:val="en-US" w:eastAsia="en-US"/>
        </w:rPr>
        <w:t>persons charged with punishable offences with an alleged terrorist motive are held in Spain under a different custodial regime, in degrading conditions possibly accompanied by torture, and with very limited contact with the outside world (family, lawyer and assistance)’.”</w:t>
      </w:r>
      <w:r w:rsidRPr="00533D7F">
        <w:rPr>
          <w:rStyle w:val="Appelnotedebasdep"/>
          <w:rFonts w:asciiTheme="minorHAnsi" w:eastAsiaTheme="minorHAnsi" w:hAnsiTheme="minorHAnsi" w:cstheme="minorHAnsi"/>
          <w:i/>
          <w:iCs/>
          <w:sz w:val="21"/>
          <w:szCs w:val="21"/>
          <w:lang w:val="en-US" w:eastAsia="en-US"/>
        </w:rPr>
        <w:footnoteReference w:id="62"/>
      </w:r>
    </w:p>
    <w:p w14:paraId="17CEE9FC" w14:textId="36DE9AF4" w:rsidR="000A5759" w:rsidRPr="00533D7F" w:rsidRDefault="000A5759" w:rsidP="00F41367">
      <w:pPr>
        <w:autoSpaceDE w:val="0"/>
        <w:autoSpaceDN w:val="0"/>
        <w:adjustRightInd w:val="0"/>
        <w:jc w:val="both"/>
        <w:rPr>
          <w:rFonts w:asciiTheme="minorHAnsi" w:eastAsiaTheme="minorHAnsi" w:hAnsiTheme="minorHAnsi" w:cstheme="minorHAnsi"/>
          <w:lang w:val="en-US" w:eastAsia="en-US"/>
        </w:rPr>
      </w:pPr>
    </w:p>
    <w:p w14:paraId="00086DFE" w14:textId="03A0E41F" w:rsidR="00E938B0" w:rsidRPr="00533D7F" w:rsidRDefault="004E090D" w:rsidP="00130F6B">
      <w:pPr>
        <w:autoSpaceDE w:val="0"/>
        <w:autoSpaceDN w:val="0"/>
        <w:adjustRightInd w:val="0"/>
        <w:jc w:val="both"/>
        <w:rPr>
          <w:rFonts w:asciiTheme="minorHAnsi" w:eastAsiaTheme="minorHAnsi" w:hAnsiTheme="minorHAnsi" w:cstheme="minorHAnsi"/>
          <w:lang w:val="en-US" w:eastAsia="en-US"/>
        </w:rPr>
      </w:pPr>
      <w:r w:rsidRPr="00533D7F">
        <w:rPr>
          <w:rFonts w:asciiTheme="minorHAnsi" w:hAnsiTheme="minorHAnsi" w:cstheme="minorHAnsi"/>
          <w:lang w:val="en-US"/>
        </w:rPr>
        <w:lastRenderedPageBreak/>
        <w:t xml:space="preserve">The case was thus temporarily closed in 2013, </w:t>
      </w:r>
      <w:r w:rsidR="00982814" w:rsidRPr="00533D7F">
        <w:rPr>
          <w:rFonts w:asciiTheme="minorHAnsi" w:hAnsiTheme="minorHAnsi" w:cstheme="minorHAnsi"/>
          <w:lang w:val="en-US"/>
        </w:rPr>
        <w:t xml:space="preserve">but only </w:t>
      </w:r>
      <w:r w:rsidRPr="00533D7F">
        <w:rPr>
          <w:rFonts w:asciiTheme="minorHAnsi" w:hAnsiTheme="minorHAnsi" w:cstheme="minorHAnsi"/>
          <w:lang w:val="en-US"/>
        </w:rPr>
        <w:t xml:space="preserve">until 2015, </w:t>
      </w:r>
      <w:r w:rsidR="00982814" w:rsidRPr="00533D7F">
        <w:rPr>
          <w:rFonts w:asciiTheme="minorHAnsi" w:hAnsiTheme="minorHAnsi" w:cstheme="minorHAnsi"/>
          <w:lang w:val="en-US"/>
        </w:rPr>
        <w:t xml:space="preserve">when </w:t>
      </w:r>
      <w:r w:rsidRPr="00533D7F">
        <w:rPr>
          <w:rFonts w:asciiTheme="minorHAnsi" w:hAnsiTheme="minorHAnsi" w:cstheme="minorHAnsi"/>
          <w:lang w:val="en-US"/>
        </w:rPr>
        <w:t xml:space="preserve">Spain issued another European </w:t>
      </w:r>
      <w:r w:rsidR="007F000C">
        <w:rPr>
          <w:rFonts w:asciiTheme="minorHAnsi" w:hAnsiTheme="minorHAnsi" w:cstheme="minorHAnsi"/>
          <w:lang w:val="en-US"/>
        </w:rPr>
        <w:t>a</w:t>
      </w:r>
      <w:r w:rsidRPr="00533D7F">
        <w:rPr>
          <w:rFonts w:asciiTheme="minorHAnsi" w:hAnsiTheme="minorHAnsi" w:cstheme="minorHAnsi"/>
          <w:lang w:val="en-US"/>
        </w:rPr>
        <w:t xml:space="preserve">rrest </w:t>
      </w:r>
      <w:r w:rsidR="007F000C">
        <w:rPr>
          <w:rFonts w:asciiTheme="minorHAnsi" w:hAnsiTheme="minorHAnsi" w:cstheme="minorHAnsi"/>
          <w:lang w:val="en-US"/>
        </w:rPr>
        <w:t>w</w:t>
      </w:r>
      <w:r w:rsidRPr="00533D7F">
        <w:rPr>
          <w:rFonts w:asciiTheme="minorHAnsi" w:hAnsiTheme="minorHAnsi" w:cstheme="minorHAnsi"/>
          <w:lang w:val="en-US"/>
        </w:rPr>
        <w:t>arrant against N.J.E.</w:t>
      </w:r>
      <w:r w:rsidR="00E938B0" w:rsidRPr="00533D7F">
        <w:rPr>
          <w:rFonts w:asciiTheme="minorHAnsi" w:hAnsiTheme="minorHAnsi" w:cstheme="minorHAnsi"/>
          <w:lang w:val="en-US"/>
        </w:rPr>
        <w:t xml:space="preserve"> Paul Bekaert, the Belgian lawyer of N.J.E.</w:t>
      </w:r>
      <w:r w:rsidR="00AF46B4">
        <w:rPr>
          <w:rFonts w:asciiTheme="minorHAnsi" w:hAnsiTheme="minorHAnsi" w:cstheme="minorHAnsi"/>
          <w:lang w:val="en-US"/>
        </w:rPr>
        <w:t>,</w:t>
      </w:r>
      <w:r w:rsidR="00E938B0" w:rsidRPr="00533D7F">
        <w:rPr>
          <w:rFonts w:asciiTheme="minorHAnsi" w:hAnsiTheme="minorHAnsi" w:cstheme="minorHAnsi"/>
          <w:lang w:val="en-US"/>
        </w:rPr>
        <w:t xml:space="preserve"> argue</w:t>
      </w:r>
      <w:r w:rsidR="003313FA">
        <w:rPr>
          <w:rFonts w:asciiTheme="minorHAnsi" w:hAnsiTheme="minorHAnsi" w:cstheme="minorHAnsi"/>
          <w:lang w:val="en-US"/>
        </w:rPr>
        <w:t>d</w:t>
      </w:r>
      <w:r w:rsidR="00E938B0" w:rsidRPr="00533D7F">
        <w:rPr>
          <w:rFonts w:asciiTheme="minorHAnsi" w:hAnsiTheme="minorHAnsi" w:cstheme="minorHAnsi"/>
          <w:lang w:val="en-US"/>
        </w:rPr>
        <w:t xml:space="preserve"> that the issuance of this last European arrest warrant was </w:t>
      </w:r>
      <w:r w:rsidR="00B36B7A" w:rsidRPr="00533D7F">
        <w:rPr>
          <w:rFonts w:asciiTheme="minorHAnsi" w:hAnsiTheme="minorHAnsi" w:cstheme="minorHAnsi"/>
          <w:lang w:val="en-US"/>
        </w:rPr>
        <w:t xml:space="preserve">partly </w:t>
      </w:r>
      <w:r w:rsidR="00E938B0" w:rsidRPr="00533D7F">
        <w:rPr>
          <w:rFonts w:asciiTheme="minorHAnsi" w:hAnsiTheme="minorHAnsi" w:cstheme="minorHAnsi"/>
          <w:lang w:val="en-US"/>
        </w:rPr>
        <w:t xml:space="preserve">owed to the fact that Spanish authorities </w:t>
      </w:r>
      <w:proofErr w:type="spellStart"/>
      <w:r w:rsidR="00E938B0" w:rsidRPr="00533D7F">
        <w:rPr>
          <w:rFonts w:asciiTheme="minorHAnsi" w:hAnsiTheme="minorHAnsi" w:cstheme="minorHAnsi"/>
          <w:lang w:val="en-US"/>
        </w:rPr>
        <w:t>realised</w:t>
      </w:r>
      <w:proofErr w:type="spellEnd"/>
      <w:r w:rsidR="00E938B0" w:rsidRPr="00533D7F">
        <w:rPr>
          <w:rFonts w:asciiTheme="minorHAnsi" w:hAnsiTheme="minorHAnsi" w:cstheme="minorHAnsi"/>
          <w:lang w:val="en-US"/>
        </w:rPr>
        <w:t xml:space="preserve"> </w:t>
      </w:r>
      <w:r w:rsidR="003313FA">
        <w:rPr>
          <w:rFonts w:asciiTheme="minorHAnsi" w:hAnsiTheme="minorHAnsi" w:cstheme="minorHAnsi"/>
          <w:lang w:val="en-US"/>
        </w:rPr>
        <w:t xml:space="preserve">that </w:t>
      </w:r>
      <w:r w:rsidR="00E938B0" w:rsidRPr="00533D7F">
        <w:rPr>
          <w:rFonts w:asciiTheme="minorHAnsi" w:hAnsiTheme="minorHAnsi" w:cstheme="minorHAnsi"/>
          <w:lang w:val="en-US"/>
        </w:rPr>
        <w:t>the case would soon become statute-barred under Spanish law</w:t>
      </w:r>
      <w:r w:rsidR="004D7CC5">
        <w:rPr>
          <w:rFonts w:asciiTheme="minorHAnsi" w:hAnsiTheme="minorHAnsi" w:cstheme="minorHAnsi"/>
          <w:lang w:val="en-US"/>
        </w:rPr>
        <w:t>.</w:t>
      </w:r>
      <w:r w:rsidR="00E938B0" w:rsidRPr="00533D7F">
        <w:rPr>
          <w:rFonts w:asciiTheme="minorHAnsi" w:hAnsiTheme="minorHAnsi" w:cstheme="minorHAnsi"/>
          <w:lang w:val="en-US"/>
        </w:rPr>
        <w:t xml:space="preserve"> </w:t>
      </w:r>
      <w:r w:rsidR="004D7CC5">
        <w:rPr>
          <w:rFonts w:asciiTheme="minorHAnsi" w:hAnsiTheme="minorHAnsi" w:cstheme="minorHAnsi"/>
          <w:lang w:val="en-US"/>
        </w:rPr>
        <w:t>T</w:t>
      </w:r>
      <w:r w:rsidR="00E938B0" w:rsidRPr="00533D7F">
        <w:rPr>
          <w:rFonts w:asciiTheme="minorHAnsi" w:hAnsiTheme="minorHAnsi" w:cstheme="minorHAnsi"/>
          <w:lang w:val="en-US"/>
        </w:rPr>
        <w:t>herefore</w:t>
      </w:r>
      <w:r w:rsidR="004D7CC5">
        <w:rPr>
          <w:rFonts w:asciiTheme="minorHAnsi" w:hAnsiTheme="minorHAnsi" w:cstheme="minorHAnsi"/>
          <w:lang w:val="en-US"/>
        </w:rPr>
        <w:t>, Spanish</w:t>
      </w:r>
      <w:r w:rsidR="00220CDD">
        <w:rPr>
          <w:rFonts w:asciiTheme="minorHAnsi" w:hAnsiTheme="minorHAnsi" w:cstheme="minorHAnsi"/>
          <w:lang w:val="en-US"/>
        </w:rPr>
        <w:t xml:space="preserve"> </w:t>
      </w:r>
      <w:r w:rsidR="00220AAB">
        <w:rPr>
          <w:rFonts w:asciiTheme="minorHAnsi" w:hAnsiTheme="minorHAnsi" w:cstheme="minorHAnsi"/>
          <w:lang w:val="en-US"/>
        </w:rPr>
        <w:t xml:space="preserve">authorities </w:t>
      </w:r>
      <w:r w:rsidR="00E938B0" w:rsidRPr="00533D7F">
        <w:rPr>
          <w:rFonts w:asciiTheme="minorHAnsi" w:hAnsiTheme="minorHAnsi" w:cstheme="minorHAnsi"/>
          <w:lang w:val="en-US"/>
        </w:rPr>
        <w:t xml:space="preserve">wanted to prosecute </w:t>
      </w:r>
      <w:r w:rsidR="00B36B7A" w:rsidRPr="00533D7F">
        <w:rPr>
          <w:rFonts w:asciiTheme="minorHAnsi" w:hAnsiTheme="minorHAnsi" w:cstheme="minorHAnsi"/>
          <w:lang w:val="en-US"/>
        </w:rPr>
        <w:t>her</w:t>
      </w:r>
      <w:r w:rsidR="00E938B0" w:rsidRPr="00533D7F">
        <w:rPr>
          <w:rFonts w:asciiTheme="minorHAnsi" w:hAnsiTheme="minorHAnsi" w:cstheme="minorHAnsi"/>
          <w:lang w:val="en-US"/>
        </w:rPr>
        <w:t xml:space="preserve"> before they </w:t>
      </w:r>
      <w:r w:rsidR="004D7CC5">
        <w:rPr>
          <w:rFonts w:asciiTheme="minorHAnsi" w:hAnsiTheme="minorHAnsi" w:cstheme="minorHAnsi"/>
          <w:lang w:val="en-US"/>
        </w:rPr>
        <w:t xml:space="preserve">would be prevented legally from pursuing the case. This is coupled with </w:t>
      </w:r>
      <w:r w:rsidR="00B36B7A" w:rsidRPr="00533D7F">
        <w:rPr>
          <w:rFonts w:asciiTheme="minorHAnsi" w:hAnsiTheme="minorHAnsi" w:cstheme="minorHAnsi"/>
          <w:lang w:val="en-US"/>
        </w:rPr>
        <w:t xml:space="preserve">the fact that the </w:t>
      </w:r>
      <w:r w:rsidR="00D54D8D">
        <w:rPr>
          <w:rFonts w:asciiTheme="minorHAnsi" w:hAnsiTheme="minorHAnsi" w:cstheme="minorHAnsi"/>
          <w:lang w:val="en-US"/>
        </w:rPr>
        <w:t>A</w:t>
      </w:r>
      <w:r w:rsidR="00B36B7A" w:rsidRPr="00533D7F">
        <w:rPr>
          <w:rFonts w:asciiTheme="minorHAnsi" w:hAnsiTheme="minorHAnsi" w:cstheme="minorHAnsi"/>
          <w:lang w:val="en-US"/>
        </w:rPr>
        <w:t xml:space="preserve">ssociation of </w:t>
      </w:r>
      <w:r w:rsidR="00D54D8D">
        <w:rPr>
          <w:rFonts w:asciiTheme="minorHAnsi" w:hAnsiTheme="minorHAnsi" w:cstheme="minorHAnsi"/>
          <w:lang w:val="en-US"/>
        </w:rPr>
        <w:t>V</w:t>
      </w:r>
      <w:r w:rsidR="00B36B7A" w:rsidRPr="00533D7F">
        <w:rPr>
          <w:rFonts w:asciiTheme="minorHAnsi" w:hAnsiTheme="minorHAnsi" w:cstheme="minorHAnsi"/>
          <w:lang w:val="en-US"/>
        </w:rPr>
        <w:t xml:space="preserve">ictims of </w:t>
      </w:r>
      <w:r w:rsidR="00D54D8D">
        <w:rPr>
          <w:rFonts w:asciiTheme="minorHAnsi" w:hAnsiTheme="minorHAnsi" w:cstheme="minorHAnsi"/>
          <w:lang w:val="en-US"/>
        </w:rPr>
        <w:t>T</w:t>
      </w:r>
      <w:r w:rsidR="00B36B7A" w:rsidRPr="00533D7F">
        <w:rPr>
          <w:rFonts w:asciiTheme="minorHAnsi" w:hAnsiTheme="minorHAnsi" w:cstheme="minorHAnsi"/>
          <w:lang w:val="en-US"/>
        </w:rPr>
        <w:t>errorism</w:t>
      </w:r>
      <w:r w:rsidR="00676926" w:rsidRPr="00533D7F">
        <w:rPr>
          <w:rFonts w:asciiTheme="minorHAnsi" w:hAnsiTheme="minorHAnsi" w:cstheme="minorHAnsi"/>
          <w:lang w:val="en-US"/>
        </w:rPr>
        <w:t>, already</w:t>
      </w:r>
      <w:r w:rsidR="00B36B7A" w:rsidRPr="00533D7F">
        <w:rPr>
          <w:rFonts w:asciiTheme="minorHAnsi" w:hAnsiTheme="minorHAnsi" w:cstheme="minorHAnsi"/>
          <w:lang w:val="en-US"/>
        </w:rPr>
        <w:t xml:space="preserve"> very </w:t>
      </w:r>
      <w:r w:rsidR="004A20BB" w:rsidRPr="00533D7F">
        <w:rPr>
          <w:rFonts w:asciiTheme="minorHAnsi" w:hAnsiTheme="minorHAnsi" w:cstheme="minorHAnsi"/>
          <w:lang w:val="en-US"/>
        </w:rPr>
        <w:t>vocal and influent</w:t>
      </w:r>
      <w:r w:rsidR="00B36B7A" w:rsidRPr="00533D7F">
        <w:rPr>
          <w:rFonts w:asciiTheme="minorHAnsi" w:hAnsiTheme="minorHAnsi" w:cstheme="minorHAnsi"/>
          <w:lang w:val="en-US"/>
        </w:rPr>
        <w:t xml:space="preserve"> in Spain, </w:t>
      </w:r>
      <w:r w:rsidR="00676926" w:rsidRPr="00533D7F">
        <w:rPr>
          <w:rFonts w:asciiTheme="minorHAnsi" w:hAnsiTheme="minorHAnsi" w:cstheme="minorHAnsi"/>
          <w:lang w:val="en-US"/>
        </w:rPr>
        <w:t>ha</w:t>
      </w:r>
      <w:r w:rsidR="004D7CC5">
        <w:rPr>
          <w:rFonts w:asciiTheme="minorHAnsi" w:hAnsiTheme="minorHAnsi" w:cstheme="minorHAnsi"/>
          <w:lang w:val="en-US"/>
        </w:rPr>
        <w:t>d</w:t>
      </w:r>
      <w:r w:rsidR="00676926" w:rsidRPr="00533D7F">
        <w:rPr>
          <w:rFonts w:asciiTheme="minorHAnsi" w:hAnsiTheme="minorHAnsi" w:cstheme="minorHAnsi"/>
          <w:lang w:val="en-US"/>
        </w:rPr>
        <w:t xml:space="preserve"> been further </w:t>
      </w:r>
      <w:r w:rsidR="00D05DFB" w:rsidRPr="00533D7F">
        <w:rPr>
          <w:rFonts w:asciiTheme="minorHAnsi" w:hAnsiTheme="minorHAnsi" w:cstheme="minorHAnsi"/>
          <w:lang w:val="en-US"/>
        </w:rPr>
        <w:t>encouraged</w:t>
      </w:r>
      <w:r w:rsidR="00676926" w:rsidRPr="00533D7F">
        <w:rPr>
          <w:rFonts w:asciiTheme="minorHAnsi" w:hAnsiTheme="minorHAnsi" w:cstheme="minorHAnsi"/>
          <w:lang w:val="en-US"/>
        </w:rPr>
        <w:t xml:space="preserve"> by the family of the victim to urge Spanish authorities to re-issue </w:t>
      </w:r>
      <w:r w:rsidR="00463744">
        <w:rPr>
          <w:rFonts w:asciiTheme="minorHAnsi" w:hAnsiTheme="minorHAnsi" w:cstheme="minorHAnsi"/>
          <w:lang w:val="en-US"/>
        </w:rPr>
        <w:t>the</w:t>
      </w:r>
      <w:r w:rsidR="00676926" w:rsidRPr="00533D7F">
        <w:rPr>
          <w:rFonts w:asciiTheme="minorHAnsi" w:hAnsiTheme="minorHAnsi" w:cstheme="minorHAnsi"/>
          <w:lang w:val="en-US"/>
        </w:rPr>
        <w:t xml:space="preserve"> European arrest warrants for N.J.E</w:t>
      </w:r>
      <w:r w:rsidR="00B36B7A" w:rsidRPr="00533D7F">
        <w:rPr>
          <w:rFonts w:asciiTheme="minorHAnsi" w:hAnsiTheme="minorHAnsi" w:cstheme="minorHAnsi"/>
          <w:lang w:val="en-US"/>
        </w:rPr>
        <w:t>.</w:t>
      </w:r>
      <w:r w:rsidR="00E938B0" w:rsidRPr="00533D7F">
        <w:rPr>
          <w:rStyle w:val="Appelnotedebasdep"/>
          <w:rFonts w:asciiTheme="minorHAnsi" w:hAnsiTheme="minorHAnsi" w:cstheme="minorHAnsi"/>
          <w:lang w:val="en-US"/>
        </w:rPr>
        <w:footnoteReference w:id="63"/>
      </w:r>
      <w:r w:rsidR="000E438C" w:rsidRPr="00533D7F">
        <w:rPr>
          <w:rFonts w:asciiTheme="minorHAnsi" w:hAnsiTheme="minorHAnsi" w:cstheme="minorHAnsi"/>
          <w:lang w:val="en-US"/>
        </w:rPr>
        <w:t xml:space="preserve"> This time, however, in light of the accusations that were </w:t>
      </w:r>
      <w:r w:rsidR="006A50E1">
        <w:rPr>
          <w:rFonts w:asciiTheme="minorHAnsi" w:hAnsiTheme="minorHAnsi" w:cstheme="minorHAnsi"/>
          <w:lang w:val="en-US"/>
        </w:rPr>
        <w:t xml:space="preserve">previously </w:t>
      </w:r>
      <w:r w:rsidR="000E438C" w:rsidRPr="00533D7F">
        <w:rPr>
          <w:rFonts w:asciiTheme="minorHAnsi" w:hAnsiTheme="minorHAnsi" w:cstheme="minorHAnsi"/>
          <w:lang w:val="en-US"/>
        </w:rPr>
        <w:t>made, the investigating judge in Spain</w:t>
      </w:r>
      <w:r w:rsidR="004D7CC5">
        <w:rPr>
          <w:rFonts w:asciiTheme="minorHAnsi" w:hAnsiTheme="minorHAnsi" w:cstheme="minorHAnsi"/>
          <w:lang w:val="en-US"/>
        </w:rPr>
        <w:t>, who issued</w:t>
      </w:r>
      <w:r w:rsidR="00220CDD">
        <w:rPr>
          <w:rFonts w:asciiTheme="minorHAnsi" w:hAnsiTheme="minorHAnsi" w:cstheme="minorHAnsi"/>
          <w:lang w:val="en-US"/>
        </w:rPr>
        <w:t xml:space="preserve"> </w:t>
      </w:r>
      <w:r w:rsidR="000E438C" w:rsidRPr="00533D7F">
        <w:rPr>
          <w:rFonts w:asciiTheme="minorHAnsi" w:hAnsiTheme="minorHAnsi" w:cstheme="minorHAnsi"/>
          <w:lang w:val="en-US"/>
        </w:rPr>
        <w:t>the European arrest warrant</w:t>
      </w:r>
      <w:r w:rsidR="003C06E4">
        <w:rPr>
          <w:rFonts w:asciiTheme="minorHAnsi" w:hAnsiTheme="minorHAnsi" w:cstheme="minorHAnsi"/>
          <w:lang w:val="en-US"/>
        </w:rPr>
        <w:t>,</w:t>
      </w:r>
      <w:r w:rsidR="000E438C" w:rsidRPr="00533D7F">
        <w:rPr>
          <w:rFonts w:asciiTheme="minorHAnsi" w:hAnsiTheme="minorHAnsi" w:cstheme="minorHAnsi"/>
          <w:lang w:val="en-US"/>
        </w:rPr>
        <w:t xml:space="preserve"> also explained in what way </w:t>
      </w:r>
      <w:r w:rsidR="00E74E98" w:rsidRPr="00533D7F">
        <w:rPr>
          <w:rFonts w:asciiTheme="minorHAnsi" w:hAnsiTheme="minorHAnsi" w:cstheme="minorHAnsi"/>
          <w:lang w:val="en-US"/>
        </w:rPr>
        <w:t xml:space="preserve">the concerns raised for the refusal of the first warrant </w:t>
      </w:r>
      <w:r w:rsidR="00C33DEE">
        <w:rPr>
          <w:rFonts w:asciiTheme="minorHAnsi" w:hAnsiTheme="minorHAnsi" w:cstheme="minorHAnsi"/>
          <w:lang w:val="en-US"/>
        </w:rPr>
        <w:t>had been</w:t>
      </w:r>
      <w:r w:rsidR="00C33DEE" w:rsidRPr="00533D7F">
        <w:rPr>
          <w:rFonts w:asciiTheme="minorHAnsi" w:hAnsiTheme="minorHAnsi" w:cstheme="minorHAnsi"/>
          <w:lang w:val="en-US"/>
        </w:rPr>
        <w:t xml:space="preserve"> </w:t>
      </w:r>
      <w:r w:rsidR="00E74E98" w:rsidRPr="00533D7F">
        <w:rPr>
          <w:rFonts w:asciiTheme="minorHAnsi" w:hAnsiTheme="minorHAnsi" w:cstheme="minorHAnsi"/>
          <w:lang w:val="en-US"/>
        </w:rPr>
        <w:t>addressed.</w:t>
      </w:r>
      <w:r w:rsidR="00E74E98" w:rsidRPr="00533D7F">
        <w:rPr>
          <w:rStyle w:val="Appelnotedebasdep"/>
          <w:rFonts w:asciiTheme="minorHAnsi" w:hAnsiTheme="minorHAnsi" w:cstheme="minorHAnsi"/>
          <w:lang w:val="en-US"/>
        </w:rPr>
        <w:footnoteReference w:id="64"/>
      </w:r>
      <w:r w:rsidR="00CD25BE" w:rsidRPr="00533D7F">
        <w:rPr>
          <w:rFonts w:asciiTheme="minorHAnsi" w:hAnsiTheme="minorHAnsi" w:cstheme="minorHAnsi"/>
          <w:lang w:val="en-US"/>
        </w:rPr>
        <w:t xml:space="preserve"> The </w:t>
      </w:r>
      <w:r w:rsidR="00CD25BE" w:rsidRPr="00533D7F">
        <w:rPr>
          <w:rFonts w:asciiTheme="minorHAnsi" w:eastAsiaTheme="minorHAnsi" w:hAnsiTheme="minorHAnsi" w:cstheme="minorHAnsi"/>
          <w:lang w:val="en-US" w:eastAsia="en-US"/>
        </w:rPr>
        <w:t>Committals Division of the Ghent Court of First Instance</w:t>
      </w:r>
      <w:r w:rsidR="00761B3B">
        <w:rPr>
          <w:rFonts w:asciiTheme="minorHAnsi" w:eastAsiaTheme="minorHAnsi" w:hAnsiTheme="minorHAnsi" w:cstheme="minorHAnsi"/>
          <w:lang w:val="en-US" w:eastAsia="en-US"/>
        </w:rPr>
        <w:t xml:space="preserve"> </w:t>
      </w:r>
      <w:r w:rsidR="00CD25BE" w:rsidRPr="00533D7F">
        <w:rPr>
          <w:rFonts w:asciiTheme="minorHAnsi" w:eastAsiaTheme="minorHAnsi" w:hAnsiTheme="minorHAnsi" w:cstheme="minorHAnsi"/>
          <w:lang w:val="en-US" w:eastAsia="en-US"/>
        </w:rPr>
        <w:t>did not</w:t>
      </w:r>
      <w:r w:rsidR="00761B3B" w:rsidRPr="00533D7F">
        <w:rPr>
          <w:rFonts w:asciiTheme="minorHAnsi" w:eastAsiaTheme="minorHAnsi" w:hAnsiTheme="minorHAnsi" w:cstheme="minorHAnsi"/>
          <w:lang w:val="en-US" w:eastAsia="en-US"/>
        </w:rPr>
        <w:t xml:space="preserve">, however, </w:t>
      </w:r>
      <w:r w:rsidR="00CD25BE" w:rsidRPr="00533D7F">
        <w:rPr>
          <w:rFonts w:asciiTheme="minorHAnsi" w:eastAsiaTheme="minorHAnsi" w:hAnsiTheme="minorHAnsi" w:cstheme="minorHAnsi"/>
          <w:lang w:val="en-US" w:eastAsia="en-US"/>
        </w:rPr>
        <w:t xml:space="preserve"> find these reassurances enough and turned the request down</w:t>
      </w:r>
      <w:r w:rsidR="00463744">
        <w:rPr>
          <w:rFonts w:asciiTheme="minorHAnsi" w:eastAsiaTheme="minorHAnsi" w:hAnsiTheme="minorHAnsi" w:cstheme="minorHAnsi"/>
          <w:lang w:val="en-US" w:eastAsia="en-US"/>
        </w:rPr>
        <w:t xml:space="preserve"> again</w:t>
      </w:r>
      <w:r w:rsidR="00CD25BE" w:rsidRPr="00533D7F">
        <w:rPr>
          <w:rFonts w:asciiTheme="minorHAnsi" w:eastAsiaTheme="minorHAnsi" w:hAnsiTheme="minorHAnsi" w:cstheme="minorHAnsi"/>
          <w:lang w:val="en-US" w:eastAsia="en-US"/>
        </w:rPr>
        <w:t xml:space="preserve">. The Federal Prosecutor’s Office appealed that decision, but the Indictments </w:t>
      </w:r>
      <w:r w:rsidR="00101577" w:rsidRPr="00533D7F">
        <w:rPr>
          <w:rFonts w:asciiTheme="minorHAnsi" w:eastAsiaTheme="minorHAnsi" w:hAnsiTheme="minorHAnsi" w:cstheme="minorHAnsi"/>
          <w:lang w:val="en-US" w:eastAsia="en-US"/>
        </w:rPr>
        <w:t>D</w:t>
      </w:r>
      <w:r w:rsidR="00CD25BE" w:rsidRPr="00533D7F">
        <w:rPr>
          <w:rFonts w:asciiTheme="minorHAnsi" w:eastAsiaTheme="minorHAnsi" w:hAnsiTheme="minorHAnsi" w:cstheme="minorHAnsi"/>
          <w:lang w:val="en-US" w:eastAsia="en-US"/>
        </w:rPr>
        <w:t xml:space="preserve">ivision upheld the ruling, saying that the assurances were </w:t>
      </w:r>
      <w:r w:rsidR="001713B1" w:rsidRPr="00533D7F">
        <w:rPr>
          <w:rFonts w:asciiTheme="minorHAnsi" w:eastAsiaTheme="minorHAnsi" w:hAnsiTheme="minorHAnsi" w:cstheme="minorHAnsi"/>
          <w:lang w:val="en-US" w:eastAsia="en-US"/>
        </w:rPr>
        <w:t xml:space="preserve">indeed </w:t>
      </w:r>
      <w:r w:rsidR="00CD25BE" w:rsidRPr="00533D7F">
        <w:rPr>
          <w:rFonts w:asciiTheme="minorHAnsi" w:eastAsiaTheme="minorHAnsi" w:hAnsiTheme="minorHAnsi" w:cstheme="minorHAnsi"/>
          <w:lang w:val="en-US" w:eastAsia="en-US"/>
        </w:rPr>
        <w:t>not enough</w:t>
      </w:r>
      <w:r w:rsidR="001713B1" w:rsidRPr="00533D7F">
        <w:rPr>
          <w:rFonts w:asciiTheme="minorHAnsi" w:eastAsiaTheme="minorHAnsi" w:hAnsiTheme="minorHAnsi" w:cstheme="minorHAnsi"/>
          <w:lang w:val="en-US" w:eastAsia="en-US"/>
        </w:rPr>
        <w:t xml:space="preserve"> to rule out the risk of human right abuse</w:t>
      </w:r>
      <w:r w:rsidR="005D43F5" w:rsidRPr="00533D7F">
        <w:rPr>
          <w:rFonts w:asciiTheme="minorHAnsi" w:eastAsiaTheme="minorHAnsi" w:hAnsiTheme="minorHAnsi" w:cstheme="minorHAnsi"/>
          <w:lang w:val="en-US" w:eastAsia="en-US"/>
        </w:rPr>
        <w:t>s if the defendant was surrendered to Spain</w:t>
      </w:r>
      <w:r w:rsidR="001713B1" w:rsidRPr="00533D7F">
        <w:rPr>
          <w:rFonts w:asciiTheme="minorHAnsi" w:eastAsiaTheme="minorHAnsi" w:hAnsiTheme="minorHAnsi" w:cstheme="minorHAnsi"/>
          <w:lang w:val="en-US" w:eastAsia="en-US"/>
        </w:rPr>
        <w:t>. It more specifically based itself upon reports of the United Nations Human Rights Committee’s submitted by N.J.E.</w:t>
      </w:r>
      <w:r w:rsidR="004D7CC5">
        <w:rPr>
          <w:rFonts w:asciiTheme="minorHAnsi" w:eastAsiaTheme="minorHAnsi" w:hAnsiTheme="minorHAnsi" w:cstheme="minorHAnsi"/>
          <w:lang w:val="en-US" w:eastAsia="en-US"/>
        </w:rPr>
        <w:t>, which</w:t>
      </w:r>
      <w:r w:rsidR="005D43F5" w:rsidRPr="00533D7F">
        <w:rPr>
          <w:rFonts w:asciiTheme="minorHAnsi" w:eastAsiaTheme="minorHAnsi" w:hAnsiTheme="minorHAnsi" w:cstheme="minorHAnsi"/>
          <w:lang w:val="en-US" w:eastAsia="en-US"/>
        </w:rPr>
        <w:t xml:space="preserve"> highlighted that Spain had still not addressed the issue of the incommunicado detentions that had repeatedly been pointed out by the UN Human Rights Committee</w:t>
      </w:r>
      <w:r w:rsidR="004D7CC5">
        <w:rPr>
          <w:rFonts w:asciiTheme="minorHAnsi" w:eastAsiaTheme="minorHAnsi" w:hAnsiTheme="minorHAnsi" w:cstheme="minorHAnsi"/>
          <w:lang w:val="en-US" w:eastAsia="en-US"/>
        </w:rPr>
        <w:t>,</w:t>
      </w:r>
      <w:r w:rsidR="005D43F5" w:rsidRPr="00533D7F">
        <w:rPr>
          <w:rFonts w:asciiTheme="minorHAnsi" w:eastAsiaTheme="minorHAnsi" w:hAnsiTheme="minorHAnsi" w:cstheme="minorHAnsi"/>
          <w:lang w:val="en-US" w:eastAsia="en-US"/>
        </w:rPr>
        <w:t xml:space="preserve"> as being problematic for the respect of </w:t>
      </w:r>
      <w:r w:rsidR="0001607A">
        <w:rPr>
          <w:rFonts w:asciiTheme="minorHAnsi" w:eastAsiaTheme="minorHAnsi" w:hAnsiTheme="minorHAnsi" w:cstheme="minorHAnsi"/>
          <w:lang w:val="en-US" w:eastAsia="en-US"/>
        </w:rPr>
        <w:t>h</w:t>
      </w:r>
      <w:r w:rsidR="005D43F5" w:rsidRPr="00533D7F">
        <w:rPr>
          <w:rFonts w:asciiTheme="minorHAnsi" w:eastAsiaTheme="minorHAnsi" w:hAnsiTheme="minorHAnsi" w:cstheme="minorHAnsi"/>
          <w:lang w:val="en-US" w:eastAsia="en-US"/>
        </w:rPr>
        <w:t xml:space="preserve">uman </w:t>
      </w:r>
      <w:r w:rsidR="0001607A">
        <w:rPr>
          <w:rFonts w:asciiTheme="minorHAnsi" w:eastAsiaTheme="minorHAnsi" w:hAnsiTheme="minorHAnsi" w:cstheme="minorHAnsi"/>
          <w:lang w:val="en-US" w:eastAsia="en-US"/>
        </w:rPr>
        <w:t>ri</w:t>
      </w:r>
      <w:r w:rsidR="005D43F5" w:rsidRPr="00533D7F">
        <w:rPr>
          <w:rFonts w:asciiTheme="minorHAnsi" w:eastAsiaTheme="minorHAnsi" w:hAnsiTheme="minorHAnsi" w:cstheme="minorHAnsi"/>
          <w:lang w:val="en-US" w:eastAsia="en-US"/>
        </w:rPr>
        <w:t xml:space="preserve">ghts. Following this decision, the Federal Prosecutor’s Office </w:t>
      </w:r>
      <w:r w:rsidR="00130F6B" w:rsidRPr="00533D7F">
        <w:rPr>
          <w:rFonts w:asciiTheme="minorHAnsi" w:eastAsiaTheme="minorHAnsi" w:hAnsiTheme="minorHAnsi" w:cstheme="minorHAnsi"/>
          <w:lang w:val="en-US" w:eastAsia="en-US"/>
        </w:rPr>
        <w:t xml:space="preserve">lodged an appeal, </w:t>
      </w:r>
      <w:r w:rsidR="005E449D" w:rsidRPr="00533D7F">
        <w:rPr>
          <w:rFonts w:asciiTheme="minorHAnsi" w:eastAsiaTheme="minorHAnsi" w:hAnsiTheme="minorHAnsi" w:cstheme="minorHAnsi"/>
          <w:lang w:val="en-US" w:eastAsia="en-US"/>
        </w:rPr>
        <w:t>claiming</w:t>
      </w:r>
      <w:r w:rsidR="00130F6B" w:rsidRPr="00533D7F">
        <w:rPr>
          <w:rFonts w:asciiTheme="minorHAnsi" w:eastAsiaTheme="minorHAnsi" w:hAnsiTheme="minorHAnsi" w:cstheme="minorHAnsi"/>
          <w:lang w:val="en-US" w:eastAsia="en-US"/>
        </w:rPr>
        <w:t xml:space="preserve"> that the references to the report of the Human Rights committee were insufficient to sustain their case. In July 2016, the Court of Cassation again dismissed the appeal because the ground on which the Federal Prosecutor’s Office based </w:t>
      </w:r>
      <w:r w:rsidR="005756A1">
        <w:rPr>
          <w:rFonts w:asciiTheme="minorHAnsi" w:eastAsiaTheme="minorHAnsi" w:hAnsiTheme="minorHAnsi" w:cstheme="minorHAnsi"/>
          <w:lang w:val="en-US" w:eastAsia="en-US"/>
        </w:rPr>
        <w:t>it</w:t>
      </w:r>
      <w:r w:rsidR="00130F6B" w:rsidRPr="00533D7F">
        <w:rPr>
          <w:rFonts w:asciiTheme="minorHAnsi" w:eastAsiaTheme="minorHAnsi" w:hAnsiTheme="minorHAnsi" w:cstheme="minorHAnsi"/>
          <w:lang w:val="en-US" w:eastAsia="en-US"/>
        </w:rPr>
        <w:t xml:space="preserve"> was considered to have “been based on an incomplete reading of the impugned judgment.”</w:t>
      </w:r>
      <w:r w:rsidR="00130F6B" w:rsidRPr="00533D7F">
        <w:rPr>
          <w:rStyle w:val="Appelnotedebasdep"/>
          <w:rFonts w:asciiTheme="minorHAnsi" w:eastAsiaTheme="minorHAnsi" w:hAnsiTheme="minorHAnsi" w:cstheme="minorHAnsi"/>
          <w:lang w:val="en-US" w:eastAsia="en-US"/>
        </w:rPr>
        <w:footnoteReference w:id="65"/>
      </w:r>
    </w:p>
    <w:p w14:paraId="49AE330B" w14:textId="77777777" w:rsidR="004E090D" w:rsidRPr="00533D7F" w:rsidRDefault="004E090D" w:rsidP="00C76AD9">
      <w:pPr>
        <w:jc w:val="both"/>
        <w:rPr>
          <w:rFonts w:asciiTheme="minorHAnsi" w:hAnsiTheme="minorHAnsi" w:cstheme="minorHAnsi"/>
          <w:lang w:val="en-US"/>
        </w:rPr>
      </w:pPr>
    </w:p>
    <w:p w14:paraId="2BA0CF81" w14:textId="5600D1CB" w:rsidR="00DB7FD1" w:rsidRPr="00533D7F" w:rsidRDefault="00F579FA" w:rsidP="001368E0">
      <w:pPr>
        <w:autoSpaceDE w:val="0"/>
        <w:autoSpaceDN w:val="0"/>
        <w:adjustRightInd w:val="0"/>
        <w:jc w:val="both"/>
        <w:rPr>
          <w:rFonts w:asciiTheme="minorHAnsi" w:hAnsiTheme="minorHAnsi" w:cstheme="minorHAnsi"/>
          <w:lang w:val="en-US"/>
        </w:rPr>
      </w:pPr>
      <w:r>
        <w:rPr>
          <w:rFonts w:asciiTheme="minorHAnsi" w:hAnsiTheme="minorHAnsi" w:cstheme="minorHAnsi"/>
          <w:lang w:val="en-US"/>
        </w:rPr>
        <w:t xml:space="preserve">The case was </w:t>
      </w:r>
      <w:r w:rsidR="00215993">
        <w:rPr>
          <w:rFonts w:asciiTheme="minorHAnsi" w:hAnsiTheme="minorHAnsi" w:cstheme="minorHAnsi"/>
          <w:lang w:val="en-US"/>
        </w:rPr>
        <w:t>consequently</w:t>
      </w:r>
      <w:r w:rsidR="00FC0E09">
        <w:rPr>
          <w:rFonts w:asciiTheme="minorHAnsi" w:hAnsiTheme="minorHAnsi" w:cstheme="minorHAnsi"/>
          <w:lang w:val="en-US"/>
        </w:rPr>
        <w:t xml:space="preserve"> </w:t>
      </w:r>
      <w:r>
        <w:rPr>
          <w:rFonts w:asciiTheme="minorHAnsi" w:hAnsiTheme="minorHAnsi" w:cstheme="minorHAnsi"/>
          <w:lang w:val="en-US"/>
        </w:rPr>
        <w:t>brough</w:t>
      </w:r>
      <w:r w:rsidR="00FC0E09">
        <w:rPr>
          <w:rFonts w:asciiTheme="minorHAnsi" w:hAnsiTheme="minorHAnsi" w:cstheme="minorHAnsi"/>
          <w:lang w:val="en-US"/>
        </w:rPr>
        <w:t xml:space="preserve">t </w:t>
      </w:r>
      <w:r w:rsidR="004D7CC5">
        <w:rPr>
          <w:rFonts w:asciiTheme="minorHAnsi" w:hAnsiTheme="minorHAnsi" w:cstheme="minorHAnsi"/>
          <w:lang w:val="en-US"/>
        </w:rPr>
        <w:t>to</w:t>
      </w:r>
      <w:r>
        <w:rPr>
          <w:rFonts w:asciiTheme="minorHAnsi" w:hAnsiTheme="minorHAnsi" w:cstheme="minorHAnsi"/>
          <w:lang w:val="en-US"/>
        </w:rPr>
        <w:t xml:space="preserve"> the </w:t>
      </w:r>
      <w:r w:rsidR="005B422F" w:rsidRPr="00533D7F">
        <w:rPr>
          <w:rFonts w:asciiTheme="minorHAnsi" w:hAnsiTheme="minorHAnsi" w:cstheme="minorHAnsi"/>
          <w:lang w:val="en-US"/>
        </w:rPr>
        <w:t>European Court of Human Rights</w:t>
      </w:r>
      <w:r>
        <w:rPr>
          <w:rFonts w:asciiTheme="minorHAnsi" w:hAnsiTheme="minorHAnsi" w:cstheme="minorHAnsi"/>
          <w:lang w:val="en-US"/>
        </w:rPr>
        <w:t>.</w:t>
      </w:r>
      <w:r w:rsidR="005B422F" w:rsidRPr="00533D7F">
        <w:rPr>
          <w:rFonts w:asciiTheme="minorHAnsi" w:hAnsiTheme="minorHAnsi" w:cstheme="minorHAnsi"/>
          <w:lang w:val="en-US"/>
        </w:rPr>
        <w:t xml:space="preserve"> </w:t>
      </w:r>
      <w:r>
        <w:rPr>
          <w:rFonts w:asciiTheme="minorHAnsi" w:hAnsiTheme="minorHAnsi" w:cstheme="minorHAnsi"/>
          <w:lang w:val="en-US"/>
        </w:rPr>
        <w:t>T</w:t>
      </w:r>
      <w:r w:rsidR="00DA6B57" w:rsidRPr="00533D7F">
        <w:rPr>
          <w:rFonts w:asciiTheme="minorHAnsi" w:hAnsiTheme="minorHAnsi" w:cstheme="minorHAnsi"/>
          <w:lang w:val="en-US"/>
        </w:rPr>
        <w:t>he applicant</w:t>
      </w:r>
      <w:r w:rsidR="00AA5081" w:rsidRPr="00533D7F">
        <w:rPr>
          <w:rFonts w:asciiTheme="minorHAnsi" w:hAnsiTheme="minorHAnsi" w:cstheme="minorHAnsi"/>
          <w:lang w:val="en-US"/>
        </w:rPr>
        <w:t>, the son of the victim,</w:t>
      </w:r>
      <w:r w:rsidR="00DA6B57" w:rsidRPr="00533D7F">
        <w:rPr>
          <w:rFonts w:asciiTheme="minorHAnsi" w:hAnsiTheme="minorHAnsi" w:cstheme="minorHAnsi"/>
          <w:lang w:val="en-US"/>
        </w:rPr>
        <w:t xml:space="preserve">  </w:t>
      </w:r>
      <w:r w:rsidR="00BE11EF" w:rsidRPr="00533D7F">
        <w:rPr>
          <w:rFonts w:asciiTheme="minorHAnsi" w:hAnsiTheme="minorHAnsi" w:cstheme="minorHAnsi"/>
          <w:lang w:val="en-US"/>
        </w:rPr>
        <w:t>contended</w:t>
      </w:r>
      <w:r w:rsidR="00DA6B57" w:rsidRPr="00533D7F">
        <w:rPr>
          <w:rFonts w:asciiTheme="minorHAnsi" w:hAnsiTheme="minorHAnsi" w:cstheme="minorHAnsi"/>
          <w:lang w:val="en-US"/>
        </w:rPr>
        <w:t xml:space="preserve"> that</w:t>
      </w:r>
      <w:r w:rsidR="0065091E" w:rsidRPr="00533D7F">
        <w:rPr>
          <w:rFonts w:asciiTheme="minorHAnsi" w:hAnsiTheme="minorHAnsi" w:cstheme="minorHAnsi"/>
          <w:lang w:val="en-US"/>
        </w:rPr>
        <w:t>,</w:t>
      </w:r>
      <w:r w:rsidR="00DA6B57" w:rsidRPr="00533D7F">
        <w:rPr>
          <w:rFonts w:asciiTheme="minorHAnsi" w:hAnsiTheme="minorHAnsi" w:cstheme="minorHAnsi"/>
          <w:lang w:val="en-US"/>
        </w:rPr>
        <w:t xml:space="preserve"> because of the Belgian refusal to surrender N.J.E., Spanish authorities were prevented </w:t>
      </w:r>
      <w:r w:rsidR="00AA5081" w:rsidRPr="00533D7F">
        <w:rPr>
          <w:rFonts w:asciiTheme="minorHAnsi" w:hAnsiTheme="minorHAnsi" w:cstheme="minorHAnsi"/>
          <w:lang w:val="en-US"/>
        </w:rPr>
        <w:t>from</w:t>
      </w:r>
      <w:r w:rsidR="00DA6B57" w:rsidRPr="00533D7F">
        <w:rPr>
          <w:rFonts w:asciiTheme="minorHAnsi" w:hAnsiTheme="minorHAnsi" w:cstheme="minorHAnsi"/>
          <w:lang w:val="en-US"/>
        </w:rPr>
        <w:t xml:space="preserve"> prosecut</w:t>
      </w:r>
      <w:r w:rsidR="00AA5081" w:rsidRPr="00533D7F">
        <w:rPr>
          <w:rFonts w:asciiTheme="minorHAnsi" w:hAnsiTheme="minorHAnsi" w:cstheme="minorHAnsi"/>
          <w:lang w:val="en-US"/>
        </w:rPr>
        <w:t>ing</w:t>
      </w:r>
      <w:r w:rsidR="00DA6B57" w:rsidRPr="00533D7F">
        <w:rPr>
          <w:rFonts w:asciiTheme="minorHAnsi" w:hAnsiTheme="minorHAnsi" w:cstheme="minorHAnsi"/>
          <w:lang w:val="en-US"/>
        </w:rPr>
        <w:t xml:space="preserve"> </w:t>
      </w:r>
      <w:r w:rsidR="00353193" w:rsidRPr="00533D7F">
        <w:rPr>
          <w:rFonts w:asciiTheme="minorHAnsi" w:hAnsiTheme="minorHAnsi" w:cstheme="minorHAnsi"/>
          <w:lang w:val="en-US"/>
        </w:rPr>
        <w:t>her</w:t>
      </w:r>
      <w:r w:rsidR="00DA6B57" w:rsidRPr="00533D7F">
        <w:rPr>
          <w:rFonts w:asciiTheme="minorHAnsi" w:hAnsiTheme="minorHAnsi" w:cstheme="minorHAnsi"/>
          <w:lang w:val="en-US"/>
        </w:rPr>
        <w:t xml:space="preserve"> and </w:t>
      </w:r>
      <w:r w:rsidR="00AA5081" w:rsidRPr="00533D7F">
        <w:rPr>
          <w:rFonts w:asciiTheme="minorHAnsi" w:hAnsiTheme="minorHAnsi" w:cstheme="minorHAnsi"/>
          <w:lang w:val="en-US"/>
        </w:rPr>
        <w:t>from</w:t>
      </w:r>
      <w:r w:rsidR="00DA6B57" w:rsidRPr="00533D7F">
        <w:rPr>
          <w:rFonts w:asciiTheme="minorHAnsi" w:hAnsiTheme="minorHAnsi" w:cstheme="minorHAnsi"/>
          <w:lang w:val="en-US"/>
        </w:rPr>
        <w:t xml:space="preserve"> carry</w:t>
      </w:r>
      <w:r w:rsidR="00AA5081" w:rsidRPr="00533D7F">
        <w:rPr>
          <w:rFonts w:asciiTheme="minorHAnsi" w:hAnsiTheme="minorHAnsi" w:cstheme="minorHAnsi"/>
          <w:lang w:val="en-US"/>
        </w:rPr>
        <w:t>ing</w:t>
      </w:r>
      <w:r w:rsidR="00DA6B57" w:rsidRPr="00533D7F">
        <w:rPr>
          <w:rFonts w:asciiTheme="minorHAnsi" w:hAnsiTheme="minorHAnsi" w:cstheme="minorHAnsi"/>
          <w:lang w:val="en-US"/>
        </w:rPr>
        <w:t xml:space="preserve"> out an effective investigation on </w:t>
      </w:r>
      <w:r w:rsidR="00912CD6" w:rsidRPr="00533D7F">
        <w:rPr>
          <w:rFonts w:asciiTheme="minorHAnsi" w:hAnsiTheme="minorHAnsi" w:cstheme="minorHAnsi"/>
          <w:lang w:val="en-US"/>
        </w:rPr>
        <w:t>this</w:t>
      </w:r>
      <w:r w:rsidR="00DA6B57" w:rsidRPr="00533D7F">
        <w:rPr>
          <w:rFonts w:asciiTheme="minorHAnsi" w:hAnsiTheme="minorHAnsi" w:cstheme="minorHAnsi"/>
          <w:lang w:val="en-US"/>
        </w:rPr>
        <w:t xml:space="preserve"> murder case.</w:t>
      </w:r>
      <w:r w:rsidR="00230045" w:rsidRPr="00533D7F">
        <w:rPr>
          <w:rStyle w:val="Appelnotedebasdep"/>
          <w:rFonts w:asciiTheme="minorHAnsi" w:hAnsiTheme="minorHAnsi" w:cstheme="minorHAnsi"/>
          <w:lang w:val="en-US"/>
        </w:rPr>
        <w:footnoteReference w:id="66"/>
      </w:r>
      <w:r w:rsidR="001E6A5A" w:rsidRPr="00533D7F">
        <w:rPr>
          <w:rFonts w:asciiTheme="minorHAnsi" w:hAnsiTheme="minorHAnsi" w:cstheme="minorHAnsi"/>
          <w:lang w:val="en-US"/>
        </w:rPr>
        <w:t xml:space="preserve"> Basing itself on </w:t>
      </w:r>
      <w:proofErr w:type="spellStart"/>
      <w:r w:rsidR="001E6A5A" w:rsidRPr="00533D7F">
        <w:rPr>
          <w:rFonts w:asciiTheme="minorHAnsi" w:hAnsiTheme="minorHAnsi" w:cstheme="minorHAnsi"/>
          <w:i/>
          <w:iCs/>
          <w:lang w:val="en-US"/>
        </w:rPr>
        <w:t>G</w:t>
      </w:r>
      <w:r w:rsidR="00DA4E95" w:rsidRPr="00533D7F">
        <w:rPr>
          <w:rFonts w:asciiTheme="minorHAnsi" w:hAnsiTheme="minorHAnsi" w:cstheme="minorHAnsi"/>
          <w:i/>
          <w:iCs/>
          <w:lang w:val="en-US"/>
        </w:rPr>
        <w:t>ü</w:t>
      </w:r>
      <w:r w:rsidR="001E6A5A" w:rsidRPr="00533D7F">
        <w:rPr>
          <w:rFonts w:asciiTheme="minorHAnsi" w:hAnsiTheme="minorHAnsi" w:cstheme="minorHAnsi"/>
          <w:i/>
          <w:iCs/>
          <w:lang w:val="en-US"/>
        </w:rPr>
        <w:t>zelyurtlu</w:t>
      </w:r>
      <w:proofErr w:type="spellEnd"/>
      <w:r w:rsidR="001E6A5A" w:rsidRPr="00533D7F">
        <w:rPr>
          <w:rFonts w:asciiTheme="minorHAnsi" w:hAnsiTheme="minorHAnsi" w:cstheme="minorHAnsi"/>
          <w:lang w:val="en-US"/>
        </w:rPr>
        <w:t>, the Court assess</w:t>
      </w:r>
      <w:r w:rsidR="00721DE8" w:rsidRPr="00533D7F">
        <w:rPr>
          <w:rFonts w:asciiTheme="minorHAnsi" w:hAnsiTheme="minorHAnsi" w:cstheme="minorHAnsi"/>
          <w:lang w:val="en-US"/>
        </w:rPr>
        <w:t>ed</w:t>
      </w:r>
      <w:r w:rsidR="00E771F3" w:rsidRPr="00533D7F">
        <w:rPr>
          <w:rFonts w:asciiTheme="minorHAnsi" w:hAnsiTheme="minorHAnsi" w:cstheme="minorHAnsi"/>
          <w:lang w:val="en-US"/>
        </w:rPr>
        <w:t>, in a two-step fashion,</w:t>
      </w:r>
      <w:r w:rsidR="001E6A5A" w:rsidRPr="00533D7F">
        <w:rPr>
          <w:rFonts w:asciiTheme="minorHAnsi" w:hAnsiTheme="minorHAnsi" w:cstheme="minorHAnsi"/>
          <w:lang w:val="en-US"/>
        </w:rPr>
        <w:t xml:space="preserve"> whether Belgian authorities “</w:t>
      </w:r>
      <w:r w:rsidR="001E6A5A" w:rsidRPr="00533D7F">
        <w:rPr>
          <w:rFonts w:asciiTheme="minorHAnsi" w:eastAsiaTheme="minorHAnsi" w:hAnsiTheme="minorHAnsi" w:cstheme="minorHAnsi"/>
          <w:lang w:val="en-US" w:eastAsia="en-US"/>
        </w:rPr>
        <w:t>responded properly to the request for cooperation”, and then if “the refusal to cooperate was based on legitimate grounds</w:t>
      </w:r>
      <w:r w:rsidR="001E6A5A" w:rsidRPr="00533D7F">
        <w:rPr>
          <w:rFonts w:asciiTheme="minorHAnsi" w:hAnsiTheme="minorHAnsi" w:cstheme="minorHAnsi"/>
          <w:lang w:val="en-US"/>
        </w:rPr>
        <w:t>”.</w:t>
      </w:r>
      <w:r w:rsidR="001E6A5A" w:rsidRPr="00533D7F">
        <w:rPr>
          <w:rStyle w:val="Appelnotedebasdep"/>
          <w:rFonts w:asciiTheme="minorHAnsi" w:hAnsiTheme="minorHAnsi" w:cstheme="minorHAnsi"/>
          <w:lang w:val="en-US"/>
        </w:rPr>
        <w:footnoteReference w:id="67"/>
      </w:r>
      <w:r w:rsidR="001E6A5A" w:rsidRPr="00533D7F">
        <w:rPr>
          <w:rFonts w:asciiTheme="minorHAnsi" w:hAnsiTheme="minorHAnsi" w:cstheme="minorHAnsi"/>
          <w:lang w:val="en-US"/>
        </w:rPr>
        <w:t xml:space="preserve"> </w:t>
      </w:r>
    </w:p>
    <w:p w14:paraId="27C4E7EF" w14:textId="77777777" w:rsidR="00DB7FD1" w:rsidRPr="00533D7F" w:rsidRDefault="00DB7FD1" w:rsidP="001368E0">
      <w:pPr>
        <w:autoSpaceDE w:val="0"/>
        <w:autoSpaceDN w:val="0"/>
        <w:adjustRightInd w:val="0"/>
        <w:jc w:val="both"/>
        <w:rPr>
          <w:rFonts w:asciiTheme="minorHAnsi" w:hAnsiTheme="minorHAnsi" w:cstheme="minorHAnsi"/>
          <w:lang w:val="en-US"/>
        </w:rPr>
      </w:pPr>
    </w:p>
    <w:p w14:paraId="46394A1D" w14:textId="35580F3E" w:rsidR="007453DE" w:rsidRPr="00650689" w:rsidRDefault="00DE799A" w:rsidP="00650689">
      <w:pPr>
        <w:autoSpaceDE w:val="0"/>
        <w:autoSpaceDN w:val="0"/>
        <w:adjustRightInd w:val="0"/>
        <w:jc w:val="both"/>
        <w:rPr>
          <w:rFonts w:asciiTheme="minorHAnsi" w:eastAsiaTheme="majorEastAsia" w:hAnsiTheme="minorHAnsi"/>
          <w:color w:val="000000" w:themeColor="text1"/>
          <w:bdr w:val="none" w:sz="0" w:space="0" w:color="auto" w:frame="1"/>
          <w:lang w:val="en-US"/>
        </w:rPr>
      </w:pPr>
      <w:r w:rsidRPr="00533D7F">
        <w:rPr>
          <w:rFonts w:asciiTheme="minorHAnsi" w:hAnsiTheme="minorHAnsi" w:cstheme="minorHAnsi"/>
          <w:lang w:val="en-US"/>
        </w:rPr>
        <w:t>Regarding the first part of the question, the Court found that Belgian authorities</w:t>
      </w:r>
      <w:r w:rsidR="00D53E63" w:rsidRPr="00533D7F">
        <w:rPr>
          <w:rFonts w:asciiTheme="minorHAnsi" w:hAnsiTheme="minorHAnsi" w:cstheme="minorHAnsi"/>
          <w:lang w:val="en-US"/>
        </w:rPr>
        <w:t xml:space="preserve"> had</w:t>
      </w:r>
      <w:r w:rsidRPr="00533D7F">
        <w:rPr>
          <w:rFonts w:asciiTheme="minorHAnsi" w:hAnsiTheme="minorHAnsi" w:cstheme="minorHAnsi"/>
          <w:lang w:val="en-US"/>
        </w:rPr>
        <w:t xml:space="preserve"> indeed </w:t>
      </w:r>
      <w:r w:rsidR="00D53E63" w:rsidRPr="00533D7F">
        <w:rPr>
          <w:rFonts w:asciiTheme="minorHAnsi" w:hAnsiTheme="minorHAnsi" w:cstheme="minorHAnsi"/>
          <w:lang w:val="en-US"/>
        </w:rPr>
        <w:t xml:space="preserve">taken the necessary steps to </w:t>
      </w:r>
      <w:proofErr w:type="spellStart"/>
      <w:r w:rsidR="00D53E63" w:rsidRPr="00533D7F">
        <w:rPr>
          <w:rFonts w:asciiTheme="minorHAnsi" w:hAnsiTheme="minorHAnsi" w:cstheme="minorHAnsi"/>
          <w:lang w:val="en-US"/>
        </w:rPr>
        <w:t>honour</w:t>
      </w:r>
      <w:proofErr w:type="spellEnd"/>
      <w:r w:rsidR="00D53E63" w:rsidRPr="00533D7F">
        <w:rPr>
          <w:rFonts w:asciiTheme="minorHAnsi" w:hAnsiTheme="minorHAnsi" w:cstheme="minorHAnsi"/>
          <w:lang w:val="en-US"/>
        </w:rPr>
        <w:t xml:space="preserve"> the Spanish request, and that refusing to cooperate in </w:t>
      </w:r>
      <w:r w:rsidR="004D7CC5">
        <w:rPr>
          <w:rFonts w:asciiTheme="minorHAnsi" w:hAnsiTheme="minorHAnsi" w:cstheme="minorHAnsi"/>
          <w:lang w:val="en-US"/>
        </w:rPr>
        <w:t xml:space="preserve">the </w:t>
      </w:r>
      <w:r w:rsidR="00D53E63" w:rsidRPr="00533D7F">
        <w:rPr>
          <w:rFonts w:asciiTheme="minorHAnsi" w:hAnsiTheme="minorHAnsi" w:cstheme="minorHAnsi"/>
          <w:lang w:val="en-US"/>
        </w:rPr>
        <w:t>case of human rights abuse is an approach that the Court ha</w:t>
      </w:r>
      <w:r w:rsidR="004D7CC5">
        <w:rPr>
          <w:rFonts w:asciiTheme="minorHAnsi" w:hAnsiTheme="minorHAnsi" w:cstheme="minorHAnsi"/>
          <w:lang w:val="en-US"/>
        </w:rPr>
        <w:t>d</w:t>
      </w:r>
      <w:r w:rsidR="00D53E63" w:rsidRPr="00533D7F">
        <w:rPr>
          <w:rFonts w:asciiTheme="minorHAnsi" w:hAnsiTheme="minorHAnsi" w:cstheme="minorHAnsi"/>
          <w:lang w:val="en-US"/>
        </w:rPr>
        <w:t xml:space="preserve"> sanctioned in previous rulings</w:t>
      </w:r>
      <w:r w:rsidR="00A15145">
        <w:rPr>
          <w:rFonts w:asciiTheme="minorHAnsi" w:hAnsiTheme="minorHAnsi" w:cstheme="minorHAnsi"/>
          <w:lang w:val="en-US"/>
        </w:rPr>
        <w:t xml:space="preserve">. </w:t>
      </w:r>
      <w:r w:rsidR="00236889">
        <w:rPr>
          <w:rFonts w:asciiTheme="minorHAnsi" w:hAnsiTheme="minorHAnsi" w:cstheme="minorHAnsi"/>
          <w:lang w:val="en-US"/>
        </w:rPr>
        <w:t>So, t</w:t>
      </w:r>
      <w:r w:rsidR="00D53E63" w:rsidRPr="00533D7F">
        <w:rPr>
          <w:rFonts w:asciiTheme="minorHAnsi" w:hAnsiTheme="minorHAnsi" w:cstheme="minorHAnsi"/>
          <w:lang w:val="en-US"/>
        </w:rPr>
        <w:t xml:space="preserve">he fact that Belgium invoked the human rights argument to turn down a request for surrender was not a problem </w:t>
      </w:r>
      <w:r w:rsidR="00D53E63" w:rsidRPr="00533D7F">
        <w:rPr>
          <w:rFonts w:asciiTheme="minorHAnsi" w:hAnsiTheme="minorHAnsi" w:cstheme="minorHAnsi"/>
          <w:i/>
          <w:iCs/>
          <w:lang w:val="en-US"/>
        </w:rPr>
        <w:t>per se</w:t>
      </w:r>
      <w:r w:rsidR="00D53E63" w:rsidRPr="00533D7F">
        <w:rPr>
          <w:rFonts w:asciiTheme="minorHAnsi" w:hAnsiTheme="minorHAnsi" w:cstheme="minorHAnsi"/>
          <w:lang w:val="en-US"/>
        </w:rPr>
        <w:t xml:space="preserve"> for the Court, on the contrary.</w:t>
      </w:r>
      <w:r w:rsidR="007D3A27" w:rsidRPr="00533D7F">
        <w:rPr>
          <w:rFonts w:asciiTheme="minorHAnsi" w:hAnsiTheme="minorHAnsi" w:cstheme="minorHAnsi"/>
          <w:lang w:val="en-US"/>
        </w:rPr>
        <w:t xml:space="preserve"> In this specific case, however, the </w:t>
      </w:r>
      <w:r w:rsidR="008E3D47" w:rsidRPr="00533D7F">
        <w:rPr>
          <w:rFonts w:asciiTheme="minorHAnsi" w:hAnsiTheme="minorHAnsi" w:cstheme="minorHAnsi"/>
          <w:lang w:val="en-US"/>
        </w:rPr>
        <w:t>C</w:t>
      </w:r>
      <w:r w:rsidR="007D3A27" w:rsidRPr="00533D7F">
        <w:rPr>
          <w:rFonts w:asciiTheme="minorHAnsi" w:hAnsiTheme="minorHAnsi" w:cstheme="minorHAnsi"/>
          <w:lang w:val="en-US"/>
        </w:rPr>
        <w:t xml:space="preserve">ourt noted that </w:t>
      </w:r>
      <w:r w:rsidR="008E3D47" w:rsidRPr="00533D7F">
        <w:rPr>
          <w:rFonts w:asciiTheme="minorHAnsi" w:hAnsiTheme="minorHAnsi" w:cstheme="minorHAnsi"/>
          <w:lang w:val="en-US"/>
        </w:rPr>
        <w:t xml:space="preserve">although the approach of the Belgian authorities not to automatically surrender the person was </w:t>
      </w:r>
      <w:r w:rsidR="00A37599" w:rsidRPr="00533D7F">
        <w:rPr>
          <w:rFonts w:asciiTheme="minorHAnsi" w:hAnsiTheme="minorHAnsi" w:cstheme="minorHAnsi"/>
          <w:lang w:val="en-US"/>
        </w:rPr>
        <w:t>the right one</w:t>
      </w:r>
      <w:r w:rsidR="008E3D47" w:rsidRPr="00533D7F">
        <w:rPr>
          <w:rFonts w:asciiTheme="minorHAnsi" w:hAnsiTheme="minorHAnsi" w:cstheme="minorHAnsi"/>
          <w:lang w:val="en-US"/>
        </w:rPr>
        <w:t xml:space="preserve">, the factual grounds </w:t>
      </w:r>
      <w:proofErr w:type="spellStart"/>
      <w:r w:rsidR="008E3D47" w:rsidRPr="00533D7F">
        <w:rPr>
          <w:rFonts w:asciiTheme="minorHAnsi" w:hAnsiTheme="minorHAnsi" w:cstheme="minorHAnsi"/>
          <w:lang w:val="en-US"/>
        </w:rPr>
        <w:t>legitimising</w:t>
      </w:r>
      <w:proofErr w:type="spellEnd"/>
      <w:r w:rsidR="008E3D47" w:rsidRPr="00533D7F">
        <w:rPr>
          <w:rFonts w:asciiTheme="minorHAnsi" w:hAnsiTheme="minorHAnsi" w:cstheme="minorHAnsi"/>
          <w:lang w:val="en-US"/>
        </w:rPr>
        <w:t xml:space="preserve"> this position were insufficient</w:t>
      </w:r>
      <w:r w:rsidR="006A5911" w:rsidRPr="00533D7F">
        <w:rPr>
          <w:rFonts w:asciiTheme="minorHAnsi" w:hAnsiTheme="minorHAnsi" w:cstheme="minorHAnsi"/>
          <w:lang w:val="en-US"/>
        </w:rPr>
        <w:t xml:space="preserve"> and did not, overall, explain how the risk of human rights abuse pointed in the international reports Belgium referred to were specifically applicable to the case of N.J.E</w:t>
      </w:r>
      <w:r w:rsidR="00946099">
        <w:rPr>
          <w:rFonts w:asciiTheme="minorHAnsi" w:hAnsiTheme="minorHAnsi" w:cstheme="minorHAnsi"/>
          <w:lang w:val="en-US"/>
        </w:rPr>
        <w:t xml:space="preserve">. In particular, </w:t>
      </w:r>
      <w:r w:rsidR="00263BF4" w:rsidRPr="00533D7F">
        <w:rPr>
          <w:rFonts w:asciiTheme="minorHAnsi" w:hAnsiTheme="minorHAnsi" w:cstheme="minorHAnsi"/>
          <w:lang w:val="en-US"/>
        </w:rPr>
        <w:t xml:space="preserve">the Court noted that Belgian authorities had surrendered </w:t>
      </w:r>
      <w:r w:rsidR="00263BF4" w:rsidRPr="00533D7F">
        <w:rPr>
          <w:rFonts w:asciiTheme="minorHAnsi" w:hAnsiTheme="minorHAnsi" w:cstheme="minorHAnsi"/>
          <w:lang w:val="en-US"/>
        </w:rPr>
        <w:lastRenderedPageBreak/>
        <w:t>numerous (former) ETA members requested by Spanish authorities through the European arrest warrant system without questioning the respect of human rights of those people.</w:t>
      </w:r>
      <w:r w:rsidR="00D767A8" w:rsidRPr="00533D7F">
        <w:rPr>
          <w:rStyle w:val="Appelnotedebasdep"/>
          <w:rFonts w:asciiTheme="minorHAnsi" w:hAnsiTheme="minorHAnsi" w:cstheme="minorHAnsi"/>
          <w:lang w:val="en-US"/>
        </w:rPr>
        <w:footnoteReference w:id="68"/>
      </w:r>
      <w:r w:rsidR="00752FDA" w:rsidRPr="00533D7F">
        <w:rPr>
          <w:rFonts w:asciiTheme="minorHAnsi" w:hAnsiTheme="minorHAnsi" w:cstheme="minorHAnsi"/>
          <w:lang w:val="en-US"/>
        </w:rPr>
        <w:t xml:space="preserve"> The Court further argued that Belgian authorities should have used their right to request additional information on the place and conditions of detention so as to determine if there would have</w:t>
      </w:r>
      <w:r w:rsidR="00946099">
        <w:rPr>
          <w:rFonts w:asciiTheme="minorHAnsi" w:hAnsiTheme="minorHAnsi" w:cstheme="minorHAnsi"/>
          <w:lang w:val="en-US"/>
        </w:rPr>
        <w:t xml:space="preserve"> been</w:t>
      </w:r>
      <w:r w:rsidR="00752FDA" w:rsidRPr="00533D7F">
        <w:rPr>
          <w:rFonts w:asciiTheme="minorHAnsi" w:hAnsiTheme="minorHAnsi" w:cstheme="minorHAnsi"/>
          <w:lang w:val="en-US"/>
        </w:rPr>
        <w:t xml:space="preserve"> </w:t>
      </w:r>
      <w:r w:rsidR="002132B6" w:rsidRPr="00533D7F">
        <w:rPr>
          <w:rFonts w:asciiTheme="minorHAnsi" w:hAnsiTheme="minorHAnsi" w:cstheme="minorHAnsi"/>
          <w:lang w:val="en-US"/>
        </w:rPr>
        <w:t>a “</w:t>
      </w:r>
      <w:r w:rsidR="002132B6" w:rsidRPr="00533D7F">
        <w:rPr>
          <w:rFonts w:asciiTheme="minorHAnsi" w:eastAsiaTheme="minorHAnsi" w:hAnsiTheme="minorHAnsi" w:cstheme="minorHAnsi"/>
          <w:lang w:val="en-US" w:eastAsia="en-US"/>
        </w:rPr>
        <w:t>real and concrete risk of a violation of the Convention” in case she was to be surrendered.</w:t>
      </w:r>
      <w:r w:rsidR="002132B6" w:rsidRPr="00533D7F">
        <w:rPr>
          <w:rStyle w:val="Appelnotedebasdep"/>
          <w:rFonts w:asciiTheme="minorHAnsi" w:eastAsiaTheme="minorHAnsi" w:hAnsiTheme="minorHAnsi" w:cstheme="minorHAnsi"/>
          <w:lang w:val="en-US" w:eastAsia="en-US"/>
        </w:rPr>
        <w:footnoteReference w:id="69"/>
      </w:r>
      <w:r w:rsidR="001E7E31" w:rsidRPr="00533D7F">
        <w:rPr>
          <w:rFonts w:asciiTheme="minorHAnsi" w:eastAsiaTheme="minorHAnsi" w:hAnsiTheme="minorHAnsi" w:cstheme="minorHAnsi"/>
          <w:lang w:val="en-US" w:eastAsia="en-US"/>
        </w:rPr>
        <w:t xml:space="preserve"> As a result of the above,</w:t>
      </w:r>
      <w:r w:rsidR="009617D8">
        <w:rPr>
          <w:rFonts w:asciiTheme="minorHAnsi" w:eastAsiaTheme="minorHAnsi" w:hAnsiTheme="minorHAnsi" w:cstheme="minorHAnsi"/>
          <w:lang w:val="en-US" w:eastAsia="en-US"/>
        </w:rPr>
        <w:t xml:space="preserve"> and building on </w:t>
      </w:r>
      <w:proofErr w:type="spellStart"/>
      <w:r w:rsidR="009617D8">
        <w:rPr>
          <w:rFonts w:asciiTheme="minorHAnsi" w:eastAsiaTheme="minorHAnsi" w:hAnsiTheme="minorHAnsi" w:cstheme="minorHAnsi"/>
          <w:i/>
          <w:iCs/>
          <w:lang w:val="en-US" w:eastAsia="en-US"/>
        </w:rPr>
        <w:t>Güzelyurtlu</w:t>
      </w:r>
      <w:proofErr w:type="spellEnd"/>
      <w:r w:rsidR="009617D8">
        <w:rPr>
          <w:rFonts w:asciiTheme="minorHAnsi" w:eastAsiaTheme="minorHAnsi" w:hAnsiTheme="minorHAnsi" w:cstheme="minorHAnsi"/>
          <w:lang w:val="en-US" w:eastAsia="en-US"/>
        </w:rPr>
        <w:t>,</w:t>
      </w:r>
      <w:r w:rsidR="009617D8">
        <w:rPr>
          <w:rStyle w:val="Appelnotedebasdep"/>
          <w:rFonts w:asciiTheme="minorHAnsi" w:eastAsiaTheme="minorHAnsi" w:hAnsiTheme="minorHAnsi" w:cstheme="minorHAnsi"/>
          <w:lang w:val="en-US" w:eastAsia="en-US"/>
        </w:rPr>
        <w:footnoteReference w:id="70"/>
      </w:r>
      <w:r w:rsidR="001E7E31" w:rsidRPr="00533D7F">
        <w:rPr>
          <w:rFonts w:asciiTheme="minorHAnsi" w:eastAsiaTheme="minorHAnsi" w:hAnsiTheme="minorHAnsi" w:cstheme="minorHAnsi"/>
          <w:lang w:val="en-US" w:eastAsia="en-US"/>
        </w:rPr>
        <w:t xml:space="preserve"> the Court concluded that </w:t>
      </w:r>
      <w:r w:rsidR="001368E0" w:rsidRPr="00533D7F">
        <w:rPr>
          <w:rFonts w:asciiTheme="minorHAnsi" w:eastAsiaTheme="minorHAnsi" w:hAnsiTheme="minorHAnsi" w:cstheme="minorHAnsi"/>
          <w:lang w:val="en-US" w:eastAsia="en-US"/>
        </w:rPr>
        <w:t>Belg</w:t>
      </w:r>
      <w:r w:rsidR="00D976C0" w:rsidRPr="00533D7F">
        <w:rPr>
          <w:rFonts w:asciiTheme="minorHAnsi" w:eastAsiaTheme="minorHAnsi" w:hAnsiTheme="minorHAnsi" w:cstheme="minorHAnsi"/>
          <w:lang w:val="en-US" w:eastAsia="en-US"/>
        </w:rPr>
        <w:t>ium</w:t>
      </w:r>
      <w:r w:rsidR="001368E0" w:rsidRPr="00533D7F">
        <w:rPr>
          <w:rFonts w:asciiTheme="minorHAnsi" w:eastAsiaTheme="minorHAnsi" w:hAnsiTheme="minorHAnsi" w:cstheme="minorHAnsi"/>
          <w:lang w:val="en-US" w:eastAsia="en-US"/>
        </w:rPr>
        <w:t xml:space="preserve"> had indeed “failed in its obligation to cooperate arising under the procedural limb of Article 2 of the Convention, and that there ha</w:t>
      </w:r>
      <w:r w:rsidR="003F30CB">
        <w:rPr>
          <w:rFonts w:asciiTheme="minorHAnsi" w:eastAsiaTheme="minorHAnsi" w:hAnsiTheme="minorHAnsi" w:cstheme="minorHAnsi"/>
          <w:lang w:val="en-US" w:eastAsia="en-US"/>
        </w:rPr>
        <w:t>d</w:t>
      </w:r>
      <w:r w:rsidR="001368E0" w:rsidRPr="00533D7F">
        <w:rPr>
          <w:rFonts w:asciiTheme="minorHAnsi" w:eastAsiaTheme="minorHAnsi" w:hAnsiTheme="minorHAnsi" w:cstheme="minorHAnsi"/>
          <w:lang w:val="en-US" w:eastAsia="en-US"/>
        </w:rPr>
        <w:t xml:space="preserve"> been a violation </w:t>
      </w:r>
      <w:r w:rsidR="001368E0" w:rsidRPr="00533D7F">
        <w:rPr>
          <w:rFonts w:asciiTheme="minorHAnsi" w:eastAsiaTheme="minorHAnsi" w:hAnsiTheme="minorHAnsi" w:cstheme="minorHAnsi"/>
          <w:color w:val="000000" w:themeColor="text1"/>
          <w:lang w:val="en-US" w:eastAsia="en-US"/>
        </w:rPr>
        <w:t>of that provision.”</w:t>
      </w:r>
      <w:r w:rsidR="001368E0" w:rsidRPr="00533D7F">
        <w:rPr>
          <w:rStyle w:val="Appelnotedebasdep"/>
          <w:rFonts w:asciiTheme="minorHAnsi" w:eastAsiaTheme="minorHAnsi" w:hAnsiTheme="minorHAnsi" w:cstheme="minorHAnsi"/>
          <w:color w:val="000000" w:themeColor="text1"/>
          <w:lang w:val="en-US" w:eastAsia="en-US"/>
        </w:rPr>
        <w:footnoteReference w:id="71"/>
      </w:r>
      <w:r w:rsidR="00D25023" w:rsidRPr="00533D7F">
        <w:rPr>
          <w:rFonts w:asciiTheme="minorHAnsi" w:eastAsiaTheme="minorHAnsi" w:hAnsiTheme="minorHAnsi" w:cstheme="minorHAnsi"/>
          <w:color w:val="000000" w:themeColor="text1"/>
          <w:lang w:val="en-US" w:eastAsia="en-US"/>
        </w:rPr>
        <w:t xml:space="preserve"> </w:t>
      </w:r>
      <w:r w:rsidR="00121A6E" w:rsidRPr="00533D7F">
        <w:rPr>
          <w:rStyle w:val="Accentuation"/>
          <w:rFonts w:asciiTheme="minorHAnsi" w:eastAsiaTheme="majorEastAsia" w:hAnsiTheme="minorHAnsi" w:cstheme="minorHAnsi"/>
          <w:i w:val="0"/>
          <w:iCs w:val="0"/>
          <w:color w:val="000000" w:themeColor="text1"/>
          <w:bdr w:val="none" w:sz="0" w:space="0" w:color="auto" w:frame="1"/>
          <w:lang w:val="en-US"/>
        </w:rPr>
        <w:t xml:space="preserve">The case thus </w:t>
      </w:r>
      <w:r w:rsidR="00121A6E">
        <w:rPr>
          <w:rStyle w:val="Accentuation"/>
          <w:rFonts w:asciiTheme="minorHAnsi" w:eastAsiaTheme="majorEastAsia" w:hAnsiTheme="minorHAnsi" w:cstheme="minorHAnsi"/>
          <w:i w:val="0"/>
          <w:iCs w:val="0"/>
          <w:color w:val="000000" w:themeColor="text1"/>
          <w:bdr w:val="none" w:sz="0" w:space="0" w:color="auto" w:frame="1"/>
          <w:lang w:val="en-US"/>
        </w:rPr>
        <w:t>took</w:t>
      </w:r>
      <w:r w:rsidR="00121A6E" w:rsidRPr="00533D7F">
        <w:rPr>
          <w:rStyle w:val="Accentuation"/>
          <w:rFonts w:asciiTheme="minorHAnsi" w:eastAsiaTheme="majorEastAsia" w:hAnsiTheme="minorHAnsi" w:cstheme="minorHAnsi"/>
          <w:i w:val="0"/>
          <w:iCs w:val="0"/>
          <w:color w:val="000000" w:themeColor="text1"/>
          <w:bdr w:val="none" w:sz="0" w:space="0" w:color="auto" w:frame="1"/>
          <w:lang w:val="en-US"/>
        </w:rPr>
        <w:t xml:space="preserve"> the obligation to cooperate established under </w:t>
      </w:r>
      <w:proofErr w:type="spellStart"/>
      <w:r w:rsidR="00121A6E" w:rsidRPr="00533D7F">
        <w:rPr>
          <w:rStyle w:val="Accentuation"/>
          <w:rFonts w:asciiTheme="minorHAnsi" w:eastAsiaTheme="majorEastAsia" w:hAnsiTheme="minorHAnsi" w:cstheme="minorHAnsi"/>
          <w:color w:val="000000" w:themeColor="text1"/>
          <w:bdr w:val="none" w:sz="0" w:space="0" w:color="auto" w:frame="1"/>
          <w:lang w:val="en-US"/>
        </w:rPr>
        <w:t>Güzelyurtlu</w:t>
      </w:r>
      <w:proofErr w:type="spellEnd"/>
      <w:r w:rsidR="00121A6E" w:rsidRPr="00533D7F">
        <w:rPr>
          <w:rStyle w:val="Accentuation"/>
          <w:rFonts w:asciiTheme="minorHAnsi" w:eastAsiaTheme="majorEastAsia" w:hAnsiTheme="minorHAnsi" w:cstheme="minorHAnsi"/>
          <w:i w:val="0"/>
          <w:iCs w:val="0"/>
          <w:color w:val="000000" w:themeColor="text1"/>
          <w:bdr w:val="none" w:sz="0" w:space="0" w:color="auto" w:frame="1"/>
          <w:lang w:val="en-US"/>
        </w:rPr>
        <w:t xml:space="preserve"> one step further</w:t>
      </w:r>
      <w:r w:rsidR="00A15145">
        <w:rPr>
          <w:rStyle w:val="Accentuation"/>
          <w:rFonts w:asciiTheme="minorHAnsi" w:eastAsiaTheme="majorEastAsia" w:hAnsiTheme="minorHAnsi" w:cstheme="minorHAnsi"/>
          <w:i w:val="0"/>
          <w:iCs w:val="0"/>
          <w:color w:val="000000" w:themeColor="text1"/>
          <w:bdr w:val="none" w:sz="0" w:space="0" w:color="auto" w:frame="1"/>
          <w:lang w:val="en-US"/>
        </w:rPr>
        <w:t>.</w:t>
      </w:r>
      <w:r w:rsidR="00121A6E" w:rsidRPr="00533D7F">
        <w:rPr>
          <w:rStyle w:val="Accentuation"/>
          <w:rFonts w:asciiTheme="minorHAnsi" w:eastAsiaTheme="majorEastAsia" w:hAnsiTheme="minorHAnsi" w:cstheme="minorHAnsi"/>
          <w:i w:val="0"/>
          <w:iCs w:val="0"/>
          <w:color w:val="000000" w:themeColor="text1"/>
          <w:bdr w:val="none" w:sz="0" w:space="0" w:color="auto" w:frame="1"/>
          <w:lang w:val="en-US"/>
        </w:rPr>
        <w:t xml:space="preserve"> </w:t>
      </w:r>
      <w:r w:rsidR="00A15145">
        <w:rPr>
          <w:rStyle w:val="Accentuation"/>
          <w:rFonts w:asciiTheme="minorHAnsi" w:eastAsiaTheme="majorEastAsia" w:hAnsiTheme="minorHAnsi" w:cstheme="minorHAnsi"/>
          <w:i w:val="0"/>
          <w:iCs w:val="0"/>
          <w:color w:val="000000" w:themeColor="text1"/>
          <w:bdr w:val="none" w:sz="0" w:space="0" w:color="auto" w:frame="1"/>
          <w:lang w:val="en-US"/>
        </w:rPr>
        <w:t>T</w:t>
      </w:r>
      <w:r w:rsidR="00121A6E" w:rsidRPr="00533D7F">
        <w:rPr>
          <w:rStyle w:val="Accentuation"/>
          <w:rFonts w:asciiTheme="minorHAnsi" w:eastAsiaTheme="majorEastAsia" w:hAnsiTheme="minorHAnsi" w:cstheme="minorHAnsi"/>
          <w:i w:val="0"/>
          <w:iCs w:val="0"/>
          <w:color w:val="000000" w:themeColor="text1"/>
          <w:bdr w:val="none" w:sz="0" w:space="0" w:color="auto" w:frame="1"/>
          <w:lang w:val="en-US"/>
        </w:rPr>
        <w:t>he Court established an obligation to cooperate not in relation to a self-standing obligation that would be based on Belgium’s application of the ECHR in its own jurisdiction</w:t>
      </w:r>
      <w:r w:rsidR="00A15145">
        <w:rPr>
          <w:rStyle w:val="Accentuation"/>
          <w:rFonts w:asciiTheme="minorHAnsi" w:eastAsiaTheme="majorEastAsia" w:hAnsiTheme="minorHAnsi" w:cstheme="minorHAnsi"/>
          <w:i w:val="0"/>
          <w:iCs w:val="0"/>
          <w:color w:val="000000" w:themeColor="text1"/>
          <w:bdr w:val="none" w:sz="0" w:space="0" w:color="auto" w:frame="1"/>
          <w:lang w:val="en-US"/>
        </w:rPr>
        <w:t>.</w:t>
      </w:r>
      <w:r w:rsidR="00121A6E" w:rsidRPr="00533D7F">
        <w:rPr>
          <w:rStyle w:val="Accentuation"/>
          <w:rFonts w:asciiTheme="minorHAnsi" w:eastAsiaTheme="majorEastAsia" w:hAnsiTheme="minorHAnsi" w:cstheme="minorHAnsi"/>
          <w:i w:val="0"/>
          <w:iCs w:val="0"/>
          <w:color w:val="000000" w:themeColor="text1"/>
          <w:bdr w:val="none" w:sz="0" w:space="0" w:color="auto" w:frame="1"/>
          <w:lang w:val="en-US"/>
        </w:rPr>
        <w:t xml:space="preserve"> </w:t>
      </w:r>
      <w:r w:rsidR="00A15145">
        <w:rPr>
          <w:rStyle w:val="Accentuation"/>
          <w:rFonts w:asciiTheme="minorHAnsi" w:eastAsiaTheme="majorEastAsia" w:hAnsiTheme="minorHAnsi" w:cstheme="minorHAnsi"/>
          <w:i w:val="0"/>
          <w:iCs w:val="0"/>
          <w:color w:val="000000" w:themeColor="text1"/>
          <w:bdr w:val="none" w:sz="0" w:space="0" w:color="auto" w:frame="1"/>
          <w:lang w:val="en-US"/>
        </w:rPr>
        <w:t>It</w:t>
      </w:r>
      <w:r w:rsidR="00121A6E" w:rsidRPr="00533D7F">
        <w:rPr>
          <w:rStyle w:val="Accentuation"/>
          <w:rFonts w:asciiTheme="minorHAnsi" w:eastAsiaTheme="majorEastAsia" w:hAnsiTheme="minorHAnsi" w:cstheme="minorHAnsi"/>
          <w:i w:val="0"/>
          <w:iCs w:val="0"/>
          <w:color w:val="000000" w:themeColor="text1"/>
          <w:bdr w:val="none" w:sz="0" w:space="0" w:color="auto" w:frame="1"/>
          <w:lang w:val="en-US"/>
        </w:rPr>
        <w:t xml:space="preserve"> rather derived this obligation from the fact that a “jurisdictional link” was created following the request for assistance (in this case, a European arrets warrant) from Spain and that engaged Belgium’s responsibility.</w:t>
      </w:r>
      <w:r w:rsidR="00121A6E" w:rsidRPr="00533D7F">
        <w:rPr>
          <w:rStyle w:val="Appelnotedebasdep"/>
          <w:rFonts w:asciiTheme="minorHAnsi" w:eastAsiaTheme="majorEastAsia" w:hAnsiTheme="minorHAnsi" w:cstheme="minorHAnsi"/>
          <w:color w:val="000000" w:themeColor="text1"/>
          <w:bdr w:val="none" w:sz="0" w:space="0" w:color="auto" w:frame="1"/>
          <w:lang w:val="en-US"/>
        </w:rPr>
        <w:footnoteReference w:id="72"/>
      </w:r>
    </w:p>
    <w:p w14:paraId="267A5FB2" w14:textId="77777777" w:rsidR="009B5BE2" w:rsidRPr="007755E0" w:rsidRDefault="009B5BE2" w:rsidP="007755E0">
      <w:pPr>
        <w:autoSpaceDE w:val="0"/>
        <w:autoSpaceDN w:val="0"/>
        <w:adjustRightInd w:val="0"/>
        <w:jc w:val="both"/>
        <w:rPr>
          <w:rFonts w:asciiTheme="minorHAnsi" w:eastAsiaTheme="majorEastAsia" w:hAnsiTheme="minorHAnsi" w:cstheme="minorHAnsi"/>
          <w:color w:val="000000" w:themeColor="text1"/>
          <w:bdr w:val="none" w:sz="0" w:space="0" w:color="auto" w:frame="1"/>
          <w:lang w:val="en-US"/>
        </w:rPr>
      </w:pPr>
    </w:p>
    <w:p w14:paraId="4475A35D" w14:textId="69150C92" w:rsidR="000815B0" w:rsidRPr="00533D7F" w:rsidRDefault="00D25023" w:rsidP="006A6DF0">
      <w:pPr>
        <w:jc w:val="both"/>
        <w:rPr>
          <w:rFonts w:asciiTheme="minorHAnsi" w:hAnsiTheme="minorHAnsi" w:cstheme="minorHAnsi"/>
          <w:lang w:val="en-US"/>
        </w:rPr>
      </w:pPr>
      <w:r w:rsidRPr="00533D7F">
        <w:rPr>
          <w:rFonts w:asciiTheme="minorHAnsi" w:eastAsiaTheme="minorHAnsi" w:hAnsiTheme="minorHAnsi" w:cstheme="minorHAnsi"/>
          <w:color w:val="000000" w:themeColor="text1"/>
          <w:lang w:val="en-US" w:eastAsia="en-US"/>
        </w:rPr>
        <w:t xml:space="preserve">It should, however, be noted that this obligation to cooperate has only been established in relation of </w:t>
      </w:r>
      <w:r w:rsidR="00722641" w:rsidRPr="00533D7F">
        <w:rPr>
          <w:rFonts w:asciiTheme="minorHAnsi" w:eastAsiaTheme="minorHAnsi" w:hAnsiTheme="minorHAnsi" w:cstheme="minorHAnsi"/>
          <w:color w:val="000000" w:themeColor="text1"/>
          <w:lang w:val="en-US" w:eastAsia="en-US"/>
        </w:rPr>
        <w:t>A</w:t>
      </w:r>
      <w:r w:rsidRPr="00533D7F">
        <w:rPr>
          <w:rFonts w:asciiTheme="minorHAnsi" w:eastAsiaTheme="minorHAnsi" w:hAnsiTheme="minorHAnsi" w:cstheme="minorHAnsi"/>
          <w:color w:val="000000" w:themeColor="text1"/>
          <w:lang w:val="en-US" w:eastAsia="en-US"/>
        </w:rPr>
        <w:t>rticle 2 of the ECHR,</w:t>
      </w:r>
      <w:r w:rsidR="00722641" w:rsidRPr="00533D7F">
        <w:rPr>
          <w:rFonts w:asciiTheme="minorHAnsi" w:eastAsiaTheme="minorHAnsi" w:hAnsiTheme="minorHAnsi" w:cstheme="minorHAnsi"/>
          <w:color w:val="000000" w:themeColor="text1"/>
          <w:lang w:val="en-US" w:eastAsia="en-US"/>
        </w:rPr>
        <w:t xml:space="preserve"> an </w:t>
      </w:r>
      <w:r w:rsidR="00A257C2">
        <w:rPr>
          <w:rFonts w:asciiTheme="minorHAnsi" w:eastAsiaTheme="minorHAnsi" w:hAnsiTheme="minorHAnsi" w:cstheme="minorHAnsi"/>
          <w:color w:val="000000" w:themeColor="text1"/>
          <w:lang w:val="en-US" w:eastAsia="en-US"/>
        </w:rPr>
        <w:t>a</w:t>
      </w:r>
      <w:r w:rsidR="00722641" w:rsidRPr="00533D7F">
        <w:rPr>
          <w:rFonts w:asciiTheme="minorHAnsi" w:eastAsiaTheme="minorHAnsi" w:hAnsiTheme="minorHAnsi" w:cstheme="minorHAnsi"/>
          <w:color w:val="000000" w:themeColor="text1"/>
          <w:lang w:val="en-US" w:eastAsia="en-US"/>
        </w:rPr>
        <w:t>rticle</w:t>
      </w:r>
      <w:r w:rsidRPr="00533D7F">
        <w:rPr>
          <w:rFonts w:asciiTheme="minorHAnsi" w:eastAsiaTheme="minorHAnsi" w:hAnsiTheme="minorHAnsi" w:cstheme="minorHAnsi"/>
          <w:color w:val="000000" w:themeColor="text1"/>
          <w:lang w:val="en-US" w:eastAsia="en-US"/>
        </w:rPr>
        <w:t xml:space="preserve"> that the Court holds in</w:t>
      </w:r>
      <w:r w:rsidR="00722641" w:rsidRPr="00533D7F">
        <w:rPr>
          <w:rFonts w:asciiTheme="minorHAnsi" w:eastAsiaTheme="minorHAnsi" w:hAnsiTheme="minorHAnsi" w:cstheme="minorHAnsi"/>
          <w:color w:val="000000" w:themeColor="text1"/>
          <w:lang w:val="en-US" w:eastAsia="en-US"/>
        </w:rPr>
        <w:t xml:space="preserve"> especially</w:t>
      </w:r>
      <w:r w:rsidRPr="00533D7F">
        <w:rPr>
          <w:rFonts w:asciiTheme="minorHAnsi" w:eastAsiaTheme="minorHAnsi" w:hAnsiTheme="minorHAnsi" w:cstheme="minorHAnsi"/>
          <w:color w:val="000000" w:themeColor="text1"/>
          <w:lang w:val="en-US" w:eastAsia="en-US"/>
        </w:rPr>
        <w:t xml:space="preserve"> high esteem.</w:t>
      </w:r>
      <w:r w:rsidRPr="00533D7F">
        <w:rPr>
          <w:rStyle w:val="Appelnotedebasdep"/>
          <w:rFonts w:asciiTheme="minorHAnsi" w:eastAsiaTheme="minorHAnsi" w:hAnsiTheme="minorHAnsi" w:cstheme="minorHAnsi"/>
          <w:color w:val="000000" w:themeColor="text1"/>
          <w:lang w:val="en-US" w:eastAsia="en-US"/>
        </w:rPr>
        <w:footnoteReference w:id="73"/>
      </w:r>
      <w:r w:rsidR="006A6DF0" w:rsidRPr="00533D7F">
        <w:rPr>
          <w:rFonts w:asciiTheme="minorHAnsi" w:eastAsiaTheme="minorHAnsi" w:hAnsiTheme="minorHAnsi" w:cstheme="minorHAnsi"/>
          <w:color w:val="000000" w:themeColor="text1"/>
          <w:lang w:val="en-US" w:eastAsia="en-US"/>
        </w:rPr>
        <w:t xml:space="preserve"> As Luc von </w:t>
      </w:r>
      <w:proofErr w:type="spellStart"/>
      <w:r w:rsidR="006A6DF0" w:rsidRPr="00533D7F">
        <w:rPr>
          <w:rFonts w:asciiTheme="minorHAnsi" w:eastAsiaTheme="minorHAnsi" w:hAnsiTheme="minorHAnsi" w:cstheme="minorHAnsi"/>
          <w:color w:val="000000" w:themeColor="text1"/>
          <w:lang w:val="en-US" w:eastAsia="en-US"/>
        </w:rPr>
        <w:t>Danwitz</w:t>
      </w:r>
      <w:proofErr w:type="spellEnd"/>
      <w:r w:rsidR="006A6DF0" w:rsidRPr="00533D7F">
        <w:rPr>
          <w:rFonts w:asciiTheme="minorHAnsi" w:eastAsiaTheme="minorHAnsi" w:hAnsiTheme="minorHAnsi" w:cstheme="minorHAnsi"/>
          <w:color w:val="000000" w:themeColor="text1"/>
          <w:lang w:val="en-US" w:eastAsia="en-US"/>
        </w:rPr>
        <w:t xml:space="preserve"> rightfully underlines, the obligation to cooperate “</w:t>
      </w:r>
      <w:r w:rsidR="006A6DF0" w:rsidRPr="00533D7F">
        <w:rPr>
          <w:rFonts w:asciiTheme="minorHAnsi" w:hAnsiTheme="minorHAnsi" w:cstheme="minorHAnsi"/>
          <w:color w:val="000000" w:themeColor="text1"/>
          <w:lang w:val="en-US"/>
        </w:rPr>
        <w:t>does not serve as a</w:t>
      </w:r>
      <w:r w:rsidR="006A6DF0" w:rsidRPr="00533D7F">
        <w:rPr>
          <w:rStyle w:val="apple-converted-space"/>
          <w:rFonts w:asciiTheme="minorHAnsi" w:eastAsiaTheme="majorEastAsia" w:hAnsiTheme="minorHAnsi" w:cstheme="minorHAnsi"/>
          <w:color w:val="000000" w:themeColor="text1"/>
          <w:lang w:val="en-US"/>
        </w:rPr>
        <w:t> </w:t>
      </w:r>
      <w:r w:rsidR="006A6DF0" w:rsidRPr="00533D7F">
        <w:rPr>
          <w:rStyle w:val="Accentuation"/>
          <w:rFonts w:asciiTheme="minorHAnsi" w:hAnsiTheme="minorHAnsi" w:cstheme="minorHAnsi"/>
          <w:color w:val="000000" w:themeColor="text1"/>
          <w:bdr w:val="none" w:sz="0" w:space="0" w:color="auto" w:frame="1"/>
          <w:lang w:val="en-US"/>
        </w:rPr>
        <w:t>carte blanche</w:t>
      </w:r>
      <w:r w:rsidR="006A6DF0" w:rsidRPr="00533D7F">
        <w:rPr>
          <w:rStyle w:val="apple-converted-space"/>
          <w:rFonts w:asciiTheme="minorHAnsi" w:eastAsiaTheme="majorEastAsia" w:hAnsiTheme="minorHAnsi" w:cstheme="minorHAnsi"/>
          <w:color w:val="000000" w:themeColor="text1"/>
          <w:lang w:val="en-US"/>
        </w:rPr>
        <w:t> </w:t>
      </w:r>
      <w:r w:rsidR="006A6DF0" w:rsidRPr="00533D7F">
        <w:rPr>
          <w:rFonts w:asciiTheme="minorHAnsi" w:hAnsiTheme="minorHAnsi" w:cstheme="minorHAnsi"/>
          <w:color w:val="000000" w:themeColor="text1"/>
          <w:lang w:val="en-US"/>
        </w:rPr>
        <w:t>to disregard the rights of the accused</w:t>
      </w:r>
      <w:r w:rsidR="006A6DF0" w:rsidRPr="00533D7F">
        <w:rPr>
          <w:rFonts w:asciiTheme="minorHAnsi" w:eastAsiaTheme="minorHAnsi" w:hAnsiTheme="minorHAnsi" w:cstheme="minorHAnsi"/>
          <w:color w:val="000000" w:themeColor="text1"/>
          <w:lang w:val="en-US" w:eastAsia="en-US"/>
        </w:rPr>
        <w:t>”.</w:t>
      </w:r>
      <w:r w:rsidR="006A6DF0" w:rsidRPr="00533D7F">
        <w:rPr>
          <w:rStyle w:val="Appelnotedebasdep"/>
          <w:rFonts w:asciiTheme="minorHAnsi" w:eastAsiaTheme="minorHAnsi" w:hAnsiTheme="minorHAnsi" w:cstheme="minorHAnsi"/>
          <w:color w:val="000000" w:themeColor="text1"/>
          <w:lang w:val="en-US" w:eastAsia="en-US"/>
        </w:rPr>
        <w:footnoteReference w:id="74"/>
      </w:r>
      <w:r w:rsidR="00722641" w:rsidRPr="00533D7F">
        <w:rPr>
          <w:rFonts w:asciiTheme="minorHAnsi" w:eastAsiaTheme="minorHAnsi" w:hAnsiTheme="minorHAnsi" w:cstheme="minorHAnsi"/>
          <w:color w:val="000000" w:themeColor="text1"/>
          <w:lang w:val="en-US" w:eastAsia="en-US"/>
        </w:rPr>
        <w:t xml:space="preserve"> </w:t>
      </w:r>
      <w:r w:rsidR="00946DCD" w:rsidRPr="00533D7F">
        <w:rPr>
          <w:rFonts w:asciiTheme="minorHAnsi" w:eastAsiaTheme="minorHAnsi" w:hAnsiTheme="minorHAnsi" w:cstheme="minorHAnsi"/>
          <w:color w:val="000000" w:themeColor="text1"/>
          <w:lang w:val="en-US" w:eastAsia="en-US"/>
        </w:rPr>
        <w:t xml:space="preserve">In </w:t>
      </w:r>
      <w:r w:rsidR="00AA68AF" w:rsidRPr="00533D7F">
        <w:rPr>
          <w:rFonts w:asciiTheme="minorHAnsi" w:eastAsiaTheme="minorHAnsi" w:hAnsiTheme="minorHAnsi" w:cstheme="minorHAnsi"/>
          <w:color w:val="000000" w:themeColor="text1"/>
          <w:lang w:val="en-US" w:eastAsia="en-US"/>
        </w:rPr>
        <w:t>this regard</w:t>
      </w:r>
      <w:r w:rsidR="00946DCD" w:rsidRPr="00533D7F">
        <w:rPr>
          <w:rFonts w:asciiTheme="minorHAnsi" w:eastAsiaTheme="minorHAnsi" w:hAnsiTheme="minorHAnsi" w:cstheme="minorHAnsi"/>
          <w:color w:val="000000" w:themeColor="text1"/>
          <w:lang w:val="en-US" w:eastAsia="en-US"/>
        </w:rPr>
        <w:t xml:space="preserve">, despite establishing that obligation in this case and </w:t>
      </w:r>
      <w:proofErr w:type="spellStart"/>
      <w:r w:rsidR="00946DCD" w:rsidRPr="00533D7F">
        <w:rPr>
          <w:rFonts w:asciiTheme="minorHAnsi" w:eastAsiaTheme="minorHAnsi" w:hAnsiTheme="minorHAnsi" w:cstheme="minorHAnsi"/>
          <w:color w:val="000000" w:themeColor="text1"/>
          <w:lang w:val="en-US" w:eastAsia="en-US"/>
        </w:rPr>
        <w:t>recognising</w:t>
      </w:r>
      <w:proofErr w:type="spellEnd"/>
      <w:r w:rsidR="00946DCD" w:rsidRPr="00533D7F">
        <w:rPr>
          <w:rFonts w:asciiTheme="minorHAnsi" w:eastAsiaTheme="minorHAnsi" w:hAnsiTheme="minorHAnsi" w:cstheme="minorHAnsi"/>
          <w:color w:val="000000" w:themeColor="text1"/>
          <w:lang w:val="en-US" w:eastAsia="en-US"/>
        </w:rPr>
        <w:t xml:space="preserve"> Belgium guilty of a breach of the Convention, the</w:t>
      </w:r>
      <w:r w:rsidR="008A14E5" w:rsidRPr="00533D7F">
        <w:rPr>
          <w:rFonts w:asciiTheme="minorHAnsi" w:eastAsiaTheme="minorHAnsi" w:hAnsiTheme="minorHAnsi" w:cstheme="minorHAnsi"/>
          <w:color w:val="000000" w:themeColor="text1"/>
          <w:lang w:val="en-US" w:eastAsia="en-US"/>
        </w:rPr>
        <w:t xml:space="preserve"> Court nevertheless </w:t>
      </w:r>
      <w:r w:rsidR="00D976C0" w:rsidRPr="00533D7F">
        <w:rPr>
          <w:rFonts w:asciiTheme="minorHAnsi" w:eastAsiaTheme="minorHAnsi" w:hAnsiTheme="minorHAnsi" w:cstheme="minorHAnsi"/>
          <w:color w:val="000000" w:themeColor="text1"/>
          <w:lang w:val="en-US" w:eastAsia="en-US"/>
        </w:rPr>
        <w:t>specified</w:t>
      </w:r>
      <w:r w:rsidR="008A14E5" w:rsidRPr="00533D7F">
        <w:rPr>
          <w:rFonts w:asciiTheme="minorHAnsi" w:eastAsiaTheme="minorHAnsi" w:hAnsiTheme="minorHAnsi" w:cstheme="minorHAnsi"/>
          <w:color w:val="000000" w:themeColor="text1"/>
          <w:lang w:val="en-US" w:eastAsia="en-US"/>
        </w:rPr>
        <w:t xml:space="preserve"> that </w:t>
      </w:r>
      <w:r w:rsidR="00946DCD" w:rsidRPr="00533D7F">
        <w:rPr>
          <w:rFonts w:asciiTheme="minorHAnsi" w:eastAsiaTheme="minorHAnsi" w:hAnsiTheme="minorHAnsi" w:cstheme="minorHAnsi"/>
          <w:color w:val="000000" w:themeColor="text1"/>
          <w:lang w:val="en-US" w:eastAsia="en-US"/>
        </w:rPr>
        <w:t>:</w:t>
      </w:r>
    </w:p>
    <w:p w14:paraId="153DDE1A" w14:textId="10388BD1" w:rsidR="000815B0" w:rsidRPr="00533D7F" w:rsidRDefault="000815B0" w:rsidP="001368E0">
      <w:pPr>
        <w:autoSpaceDE w:val="0"/>
        <w:autoSpaceDN w:val="0"/>
        <w:adjustRightInd w:val="0"/>
        <w:jc w:val="both"/>
        <w:rPr>
          <w:rFonts w:asciiTheme="minorHAnsi" w:eastAsiaTheme="minorHAnsi" w:hAnsiTheme="minorHAnsi" w:cstheme="minorHAnsi"/>
          <w:lang w:val="en-US" w:eastAsia="en-US"/>
        </w:rPr>
      </w:pPr>
    </w:p>
    <w:p w14:paraId="64587E08" w14:textId="062002C6" w:rsidR="000815B0" w:rsidRPr="005A67EF" w:rsidRDefault="000815B0" w:rsidP="00A37599">
      <w:pPr>
        <w:autoSpaceDE w:val="0"/>
        <w:autoSpaceDN w:val="0"/>
        <w:adjustRightInd w:val="0"/>
        <w:ind w:left="851"/>
        <w:jc w:val="both"/>
        <w:rPr>
          <w:rFonts w:asciiTheme="minorHAnsi" w:eastAsiaTheme="minorHAnsi" w:hAnsiTheme="minorHAnsi" w:cstheme="minorHAnsi"/>
          <w:color w:val="000000" w:themeColor="text1"/>
          <w:sz w:val="21"/>
          <w:szCs w:val="21"/>
          <w:lang w:val="en-US" w:eastAsia="en-US"/>
        </w:rPr>
      </w:pPr>
      <w:r w:rsidRPr="00533D7F">
        <w:rPr>
          <w:rFonts w:asciiTheme="minorHAnsi" w:eastAsiaTheme="minorHAnsi" w:hAnsiTheme="minorHAnsi" w:cstheme="minorHAnsi"/>
          <w:i/>
          <w:iCs/>
          <w:sz w:val="21"/>
          <w:szCs w:val="21"/>
          <w:lang w:val="en-US" w:eastAsia="en-US"/>
        </w:rPr>
        <w:t xml:space="preserve">“this finding of a violation of Article 2 of the Convention does not necessarily entail a requirement for Belgium to surrender N.J.E. to the Spanish authorities. The reason which has prompted the Court to find a violation of Article 2 is the lack of sufficient factual basis for the refusal to surrender her. This in no way releases the Belgian authorities from their obligation to ensure that in the event of her surrender to the Spanish authorities N.J.E. would not run a risk of treatment contrary to Article 3 of the Convention. More generally, this judgment cannot be construed as lessening the </w:t>
      </w:r>
      <w:r w:rsidRPr="005A67EF">
        <w:rPr>
          <w:rFonts w:asciiTheme="minorHAnsi" w:eastAsiaTheme="minorHAnsi" w:hAnsiTheme="minorHAnsi" w:cstheme="minorHAnsi"/>
          <w:i/>
          <w:iCs/>
          <w:color w:val="000000" w:themeColor="text1"/>
          <w:sz w:val="21"/>
          <w:szCs w:val="21"/>
          <w:lang w:val="en-US" w:eastAsia="en-US"/>
        </w:rPr>
        <w:t>obligation for States not to extradite a person to a requesting country where there are serious grounds to believe that if the person is extradited to that country he or she will run a real risk of being subjected to treatment contrary to Article 3 (…), and hence to verify that no such risk exists”</w:t>
      </w:r>
      <w:r w:rsidR="00A37599" w:rsidRPr="005A67EF">
        <w:rPr>
          <w:rFonts w:asciiTheme="minorHAnsi" w:eastAsiaTheme="minorHAnsi" w:hAnsiTheme="minorHAnsi" w:cstheme="minorHAnsi"/>
          <w:color w:val="000000" w:themeColor="text1"/>
          <w:sz w:val="21"/>
          <w:szCs w:val="21"/>
          <w:lang w:val="en-US" w:eastAsia="en-US"/>
        </w:rPr>
        <w:t>.</w:t>
      </w:r>
      <w:r w:rsidR="00A37599" w:rsidRPr="005A67EF">
        <w:rPr>
          <w:rStyle w:val="Appelnotedebasdep"/>
          <w:rFonts w:asciiTheme="minorHAnsi" w:eastAsiaTheme="minorHAnsi" w:hAnsiTheme="minorHAnsi" w:cstheme="minorHAnsi"/>
          <w:color w:val="000000" w:themeColor="text1"/>
          <w:sz w:val="21"/>
          <w:szCs w:val="21"/>
          <w:lang w:val="en-US" w:eastAsia="en-US"/>
        </w:rPr>
        <w:footnoteReference w:id="75"/>
      </w:r>
    </w:p>
    <w:p w14:paraId="21F9CCB7" w14:textId="77777777" w:rsidR="007755E0" w:rsidRPr="00533D7F" w:rsidRDefault="007755E0" w:rsidP="000B3D08">
      <w:pPr>
        <w:rPr>
          <w:rFonts w:asciiTheme="minorHAnsi" w:hAnsiTheme="minorHAnsi" w:cstheme="minorHAnsi"/>
          <w:lang w:val="en-US"/>
        </w:rPr>
      </w:pPr>
    </w:p>
    <w:p w14:paraId="64B1403E" w14:textId="18C28A57" w:rsidR="00A67301" w:rsidRDefault="00A67301" w:rsidP="00C634A0">
      <w:pPr>
        <w:pStyle w:val="Titre2"/>
        <w:numPr>
          <w:ilvl w:val="0"/>
          <w:numId w:val="1"/>
        </w:numPr>
        <w:rPr>
          <w:rFonts w:asciiTheme="minorHAnsi" w:hAnsiTheme="minorHAnsi" w:cstheme="minorHAnsi"/>
          <w:lang w:val="en-US"/>
        </w:rPr>
      </w:pPr>
      <w:r>
        <w:rPr>
          <w:rFonts w:asciiTheme="minorHAnsi" w:hAnsiTheme="minorHAnsi" w:cstheme="minorHAnsi"/>
          <w:lang w:val="en-US"/>
        </w:rPr>
        <w:t>Convergence of ECtHR and CJEU approaches</w:t>
      </w:r>
    </w:p>
    <w:p w14:paraId="7E0483ED" w14:textId="09980C05" w:rsidR="00A67301" w:rsidRDefault="00A67301" w:rsidP="00A67301">
      <w:pPr>
        <w:rPr>
          <w:lang w:val="en-US" w:eastAsia="en-US"/>
        </w:rPr>
      </w:pPr>
    </w:p>
    <w:p w14:paraId="5BF41FB5" w14:textId="667191D4" w:rsidR="00F16ABF" w:rsidRPr="00433F70" w:rsidRDefault="004435A0" w:rsidP="00183A3D">
      <w:pPr>
        <w:jc w:val="both"/>
        <w:rPr>
          <w:rFonts w:asciiTheme="minorHAnsi" w:hAnsiTheme="minorHAnsi" w:cstheme="minorHAnsi"/>
          <w:lang w:val="en-US"/>
        </w:rPr>
      </w:pPr>
      <w:r w:rsidRPr="00F938D8">
        <w:rPr>
          <w:rFonts w:asciiTheme="minorHAnsi" w:hAnsiTheme="minorHAnsi" w:cstheme="minorHAnsi"/>
          <w:lang w:val="en-US" w:eastAsia="en-US"/>
        </w:rPr>
        <w:t xml:space="preserve">The </w:t>
      </w:r>
      <w:proofErr w:type="spellStart"/>
      <w:r w:rsidRPr="00533D7F">
        <w:rPr>
          <w:rFonts w:asciiTheme="minorHAnsi" w:hAnsiTheme="minorHAnsi" w:cstheme="minorHAnsi"/>
          <w:i/>
          <w:iCs/>
          <w:lang w:val="en-US"/>
        </w:rPr>
        <w:t>Castaño</w:t>
      </w:r>
      <w:proofErr w:type="spellEnd"/>
      <w:r>
        <w:rPr>
          <w:rFonts w:asciiTheme="minorHAnsi" w:hAnsiTheme="minorHAnsi" w:cstheme="minorHAnsi"/>
          <w:i/>
          <w:iCs/>
          <w:lang w:val="en-US"/>
        </w:rPr>
        <w:t xml:space="preserve"> </w:t>
      </w:r>
      <w:r>
        <w:rPr>
          <w:rFonts w:asciiTheme="minorHAnsi" w:hAnsiTheme="minorHAnsi" w:cstheme="minorHAnsi"/>
          <w:lang w:val="en-US"/>
        </w:rPr>
        <w:t>case encapsulate</w:t>
      </w:r>
      <w:r w:rsidR="00183A3D">
        <w:rPr>
          <w:rFonts w:asciiTheme="minorHAnsi" w:hAnsiTheme="minorHAnsi" w:cstheme="minorHAnsi"/>
          <w:lang w:val="en-US"/>
        </w:rPr>
        <w:t>d,</w:t>
      </w:r>
      <w:r w:rsidR="00A15145">
        <w:rPr>
          <w:rFonts w:asciiTheme="minorHAnsi" w:hAnsiTheme="minorHAnsi" w:cstheme="minorHAnsi"/>
          <w:lang w:val="en-US"/>
        </w:rPr>
        <w:t xml:space="preserve"> and to a certain extent reconciled</w:t>
      </w:r>
      <w:r w:rsidR="00B52D17">
        <w:rPr>
          <w:rFonts w:asciiTheme="minorHAnsi" w:hAnsiTheme="minorHAnsi" w:cstheme="minorHAnsi"/>
          <w:lang w:val="en-US"/>
        </w:rPr>
        <w:t>,</w:t>
      </w:r>
      <w:r w:rsidR="00183A3D">
        <w:rPr>
          <w:rFonts w:asciiTheme="minorHAnsi" w:hAnsiTheme="minorHAnsi" w:cstheme="minorHAnsi"/>
          <w:lang w:val="en-US"/>
        </w:rPr>
        <w:t xml:space="preserve"> </w:t>
      </w:r>
      <w:r w:rsidR="00A15145">
        <w:rPr>
          <w:rFonts w:asciiTheme="minorHAnsi" w:hAnsiTheme="minorHAnsi" w:cstheme="minorHAnsi"/>
          <w:lang w:val="en-US"/>
        </w:rPr>
        <w:t xml:space="preserve">a </w:t>
      </w:r>
      <w:r w:rsidR="00052323">
        <w:rPr>
          <w:rFonts w:asciiTheme="minorHAnsi" w:hAnsiTheme="minorHAnsi" w:cstheme="minorHAnsi"/>
          <w:lang w:val="en-US"/>
        </w:rPr>
        <w:t>long-standing</w:t>
      </w:r>
      <w:r>
        <w:rPr>
          <w:rFonts w:asciiTheme="minorHAnsi" w:hAnsiTheme="minorHAnsi" w:cstheme="minorHAnsi"/>
          <w:lang w:val="en-US"/>
        </w:rPr>
        <w:t xml:space="preserve"> tension between the</w:t>
      </w:r>
      <w:r w:rsidR="00A15145">
        <w:rPr>
          <w:rFonts w:asciiTheme="minorHAnsi" w:hAnsiTheme="minorHAnsi" w:cstheme="minorHAnsi"/>
          <w:lang w:val="en-US"/>
        </w:rPr>
        <w:t xml:space="preserve"> ECHR approach and the EU Law approach to human rights protection and extradition</w:t>
      </w:r>
      <w:r>
        <w:rPr>
          <w:rFonts w:asciiTheme="minorHAnsi" w:hAnsiTheme="minorHAnsi" w:cstheme="minorHAnsi"/>
          <w:lang w:val="en-US"/>
        </w:rPr>
        <w:t>.</w:t>
      </w:r>
      <w:r w:rsidR="002C58EE">
        <w:rPr>
          <w:rFonts w:asciiTheme="minorHAnsi" w:hAnsiTheme="minorHAnsi" w:cstheme="minorHAnsi"/>
          <w:lang w:val="en-US"/>
        </w:rPr>
        <w:t xml:space="preserve"> </w:t>
      </w:r>
      <w:r w:rsidR="00EE1CAD">
        <w:rPr>
          <w:rFonts w:asciiTheme="minorHAnsi" w:hAnsiTheme="minorHAnsi" w:cstheme="minorHAnsi"/>
          <w:lang w:val="en-US"/>
        </w:rPr>
        <w:t>Indeed, w</w:t>
      </w:r>
      <w:r w:rsidR="00F16ABF">
        <w:rPr>
          <w:rFonts w:asciiTheme="minorHAnsi" w:hAnsiTheme="minorHAnsi" w:cstheme="minorHAnsi"/>
          <w:lang w:val="en-US"/>
        </w:rPr>
        <w:t>ith</w:t>
      </w:r>
      <w:r w:rsidR="002C58EE">
        <w:rPr>
          <w:rFonts w:asciiTheme="minorHAnsi" w:hAnsiTheme="minorHAnsi" w:cstheme="minorHAnsi"/>
          <w:lang w:val="en-US"/>
        </w:rPr>
        <w:t xml:space="preserve"> </w:t>
      </w:r>
      <w:proofErr w:type="spellStart"/>
      <w:r w:rsidR="002C58EE">
        <w:rPr>
          <w:rFonts w:asciiTheme="minorHAnsi" w:hAnsiTheme="minorHAnsi" w:cstheme="minorHAnsi"/>
          <w:i/>
          <w:iCs/>
          <w:lang w:val="en-US"/>
        </w:rPr>
        <w:t>Soering</w:t>
      </w:r>
      <w:proofErr w:type="spellEnd"/>
      <w:r w:rsidR="00F16ABF">
        <w:rPr>
          <w:rFonts w:asciiTheme="minorHAnsi" w:hAnsiTheme="minorHAnsi" w:cstheme="minorHAnsi"/>
          <w:lang w:val="en-US"/>
        </w:rPr>
        <w:t>,</w:t>
      </w:r>
      <w:r w:rsidR="002C58EE">
        <w:rPr>
          <w:rFonts w:asciiTheme="minorHAnsi" w:hAnsiTheme="minorHAnsi" w:cstheme="minorHAnsi"/>
          <w:lang w:val="en-US"/>
        </w:rPr>
        <w:t xml:space="preserve"> the ECtHR had</w:t>
      </w:r>
      <w:r w:rsidR="00F16ABF">
        <w:rPr>
          <w:rFonts w:asciiTheme="minorHAnsi" w:hAnsiTheme="minorHAnsi" w:cstheme="minorHAnsi"/>
          <w:lang w:val="en-US"/>
        </w:rPr>
        <w:t xml:space="preserve"> established the importance of </w:t>
      </w:r>
      <w:proofErr w:type="spellStart"/>
      <w:r w:rsidR="00F16ABF">
        <w:rPr>
          <w:rFonts w:asciiTheme="minorHAnsi" w:hAnsiTheme="minorHAnsi" w:cstheme="minorHAnsi"/>
          <w:lang w:val="en-US"/>
        </w:rPr>
        <w:t>prioritising</w:t>
      </w:r>
      <w:proofErr w:type="spellEnd"/>
      <w:r w:rsidR="00F16ABF">
        <w:rPr>
          <w:rFonts w:asciiTheme="minorHAnsi" w:hAnsiTheme="minorHAnsi" w:cstheme="minorHAnsi"/>
          <w:lang w:val="en-US"/>
        </w:rPr>
        <w:t xml:space="preserve"> </w:t>
      </w:r>
      <w:r w:rsidR="00F16ABF">
        <w:rPr>
          <w:rFonts w:asciiTheme="minorHAnsi" w:hAnsiTheme="minorHAnsi" w:cstheme="minorHAnsi"/>
          <w:lang w:val="en-US"/>
        </w:rPr>
        <w:lastRenderedPageBreak/>
        <w:t>concerns</w:t>
      </w:r>
      <w:r w:rsidR="003F30CB">
        <w:rPr>
          <w:rFonts w:asciiTheme="minorHAnsi" w:hAnsiTheme="minorHAnsi" w:cstheme="minorHAnsi"/>
          <w:lang w:val="en-US"/>
        </w:rPr>
        <w:t xml:space="preserve"> of </w:t>
      </w:r>
      <w:r w:rsidR="00F16ABF">
        <w:rPr>
          <w:rFonts w:asciiTheme="minorHAnsi" w:hAnsiTheme="minorHAnsi" w:cstheme="minorHAnsi"/>
          <w:lang w:val="en-US"/>
        </w:rPr>
        <w:t xml:space="preserve">human rights </w:t>
      </w:r>
      <w:r w:rsidR="00C0092F">
        <w:rPr>
          <w:rFonts w:asciiTheme="minorHAnsi" w:hAnsiTheme="minorHAnsi" w:cstheme="minorHAnsi"/>
          <w:lang w:val="en-US"/>
        </w:rPr>
        <w:t>over</w:t>
      </w:r>
      <w:r w:rsidR="00F16ABF">
        <w:rPr>
          <w:rFonts w:asciiTheme="minorHAnsi" w:hAnsiTheme="minorHAnsi" w:cstheme="minorHAnsi"/>
          <w:lang w:val="en-US"/>
        </w:rPr>
        <w:t xml:space="preserve"> cooperation. </w:t>
      </w:r>
      <w:r w:rsidR="00C0092F">
        <w:rPr>
          <w:rFonts w:asciiTheme="minorHAnsi" w:hAnsiTheme="minorHAnsi" w:cstheme="minorHAnsi"/>
          <w:lang w:val="en-US"/>
        </w:rPr>
        <w:t xml:space="preserve">This </w:t>
      </w:r>
      <w:proofErr w:type="spellStart"/>
      <w:r w:rsidR="00C0092F">
        <w:rPr>
          <w:rFonts w:asciiTheme="minorHAnsi" w:hAnsiTheme="minorHAnsi" w:cstheme="minorHAnsi"/>
          <w:lang w:val="en-US"/>
        </w:rPr>
        <w:t>prioritisation</w:t>
      </w:r>
      <w:proofErr w:type="spellEnd"/>
      <w:r w:rsidR="00166241">
        <w:rPr>
          <w:rFonts w:asciiTheme="minorHAnsi" w:hAnsiTheme="minorHAnsi" w:cstheme="minorHAnsi"/>
          <w:lang w:val="en-US"/>
        </w:rPr>
        <w:t xml:space="preserve"> </w:t>
      </w:r>
      <w:r w:rsidR="00C0092F">
        <w:rPr>
          <w:rFonts w:asciiTheme="minorHAnsi" w:hAnsiTheme="minorHAnsi" w:cstheme="minorHAnsi"/>
          <w:lang w:val="en-US"/>
        </w:rPr>
        <w:t xml:space="preserve">was not absolute, </w:t>
      </w:r>
      <w:r w:rsidR="00B82EA8">
        <w:rPr>
          <w:rFonts w:asciiTheme="minorHAnsi" w:hAnsiTheme="minorHAnsi" w:cstheme="minorHAnsi"/>
          <w:lang w:val="en-US"/>
        </w:rPr>
        <w:t>but</w:t>
      </w:r>
      <w:r w:rsidR="00C0092F" w:rsidRPr="00F938D8">
        <w:rPr>
          <w:rFonts w:asciiTheme="minorHAnsi" w:hAnsiTheme="minorHAnsi" w:cstheme="minorHAnsi"/>
          <w:lang w:val="en-GB"/>
        </w:rPr>
        <w:t xml:space="preserve"> the fact that </w:t>
      </w:r>
      <w:r w:rsidR="003F30CB">
        <w:rPr>
          <w:rFonts w:asciiTheme="minorHAnsi" w:hAnsiTheme="minorHAnsi" w:cstheme="minorHAnsi"/>
          <w:lang w:val="en-GB"/>
        </w:rPr>
        <w:t>the</w:t>
      </w:r>
      <w:r w:rsidR="00C0092F" w:rsidRPr="00F938D8">
        <w:rPr>
          <w:rFonts w:asciiTheme="minorHAnsi" w:hAnsiTheme="minorHAnsi" w:cstheme="minorHAnsi"/>
          <w:lang w:val="en-GB"/>
        </w:rPr>
        <w:t xml:space="preserve"> Court sw</w:t>
      </w:r>
      <w:r w:rsidR="00537177" w:rsidRPr="00F938D8">
        <w:rPr>
          <w:rFonts w:asciiTheme="minorHAnsi" w:hAnsiTheme="minorHAnsi" w:cstheme="minorHAnsi"/>
          <w:lang w:val="en-GB"/>
        </w:rPr>
        <w:t>a</w:t>
      </w:r>
      <w:r w:rsidR="00C0092F" w:rsidRPr="00F938D8">
        <w:rPr>
          <w:rFonts w:asciiTheme="minorHAnsi" w:hAnsiTheme="minorHAnsi" w:cstheme="minorHAnsi"/>
          <w:lang w:val="en-GB"/>
        </w:rPr>
        <w:t xml:space="preserve">m against the tide to </w:t>
      </w:r>
      <w:r w:rsidR="00B82EA8">
        <w:rPr>
          <w:rFonts w:asciiTheme="minorHAnsi" w:hAnsiTheme="minorHAnsi" w:cstheme="minorHAnsi"/>
          <w:lang w:val="en-GB"/>
        </w:rPr>
        <w:t xml:space="preserve">set that standard </w:t>
      </w:r>
      <w:r w:rsidR="00C0092F" w:rsidRPr="00F938D8">
        <w:rPr>
          <w:rFonts w:asciiTheme="minorHAnsi" w:hAnsiTheme="minorHAnsi" w:cstheme="minorHAnsi"/>
          <w:lang w:val="en-GB"/>
        </w:rPr>
        <w:t xml:space="preserve">tells us about the </w:t>
      </w:r>
      <w:r w:rsidR="00050FB4">
        <w:rPr>
          <w:rFonts w:asciiTheme="minorHAnsi" w:hAnsiTheme="minorHAnsi" w:cstheme="minorHAnsi"/>
          <w:lang w:val="en-GB"/>
        </w:rPr>
        <w:t>ambition</w:t>
      </w:r>
      <w:r w:rsidR="00C0092F" w:rsidRPr="00F938D8">
        <w:rPr>
          <w:rFonts w:asciiTheme="minorHAnsi" w:hAnsiTheme="minorHAnsi" w:cstheme="minorHAnsi"/>
          <w:lang w:val="en-GB"/>
        </w:rPr>
        <w:t xml:space="preserve"> of the Court in terms of human protection.</w:t>
      </w:r>
      <w:r w:rsidR="00537177" w:rsidRPr="00F938D8">
        <w:rPr>
          <w:rFonts w:asciiTheme="minorHAnsi" w:hAnsiTheme="minorHAnsi" w:cstheme="minorHAnsi"/>
          <w:lang w:val="en-GB"/>
        </w:rPr>
        <w:t xml:space="preserve"> </w:t>
      </w:r>
      <w:r w:rsidR="00B82EA8">
        <w:rPr>
          <w:rFonts w:asciiTheme="minorHAnsi" w:hAnsiTheme="minorHAnsi" w:cstheme="minorHAnsi"/>
          <w:lang w:val="en-GB"/>
        </w:rPr>
        <w:t>The Court</w:t>
      </w:r>
      <w:r w:rsidR="00166241">
        <w:rPr>
          <w:rFonts w:asciiTheme="minorHAnsi" w:hAnsiTheme="minorHAnsi" w:cstheme="minorHAnsi"/>
          <w:lang w:val="en-GB"/>
        </w:rPr>
        <w:t xml:space="preserve"> </w:t>
      </w:r>
      <w:r w:rsidR="005B7DE5">
        <w:rPr>
          <w:rFonts w:asciiTheme="minorHAnsi" w:hAnsiTheme="minorHAnsi" w:cstheme="minorHAnsi"/>
          <w:lang w:val="en-GB"/>
        </w:rPr>
        <w:t xml:space="preserve">thus </w:t>
      </w:r>
      <w:r w:rsidR="00537177" w:rsidRPr="00F938D8">
        <w:rPr>
          <w:rFonts w:asciiTheme="minorHAnsi" w:hAnsiTheme="minorHAnsi" w:cstheme="minorHAnsi"/>
          <w:lang w:val="en-GB"/>
        </w:rPr>
        <w:t>made a statement</w:t>
      </w:r>
      <w:r w:rsidR="00B82EA8">
        <w:rPr>
          <w:rFonts w:asciiTheme="minorHAnsi" w:hAnsiTheme="minorHAnsi" w:cstheme="minorHAnsi"/>
          <w:lang w:val="en-GB"/>
        </w:rPr>
        <w:t xml:space="preserve"> </w:t>
      </w:r>
      <w:r w:rsidR="00740568">
        <w:rPr>
          <w:rFonts w:asciiTheme="minorHAnsi" w:hAnsiTheme="minorHAnsi" w:cstheme="minorHAnsi"/>
          <w:lang w:val="en-GB"/>
        </w:rPr>
        <w:t>in reference to</w:t>
      </w:r>
      <w:r w:rsidR="00B82EA8">
        <w:rPr>
          <w:rFonts w:asciiTheme="minorHAnsi" w:hAnsiTheme="minorHAnsi" w:cstheme="minorHAnsi"/>
          <w:lang w:val="en-GB"/>
        </w:rPr>
        <w:t xml:space="preserve"> </w:t>
      </w:r>
      <w:proofErr w:type="spellStart"/>
      <w:r w:rsidR="00B82EA8">
        <w:rPr>
          <w:rFonts w:asciiTheme="minorHAnsi" w:hAnsiTheme="minorHAnsi" w:cstheme="minorHAnsi"/>
          <w:i/>
          <w:iCs/>
          <w:lang w:val="en-GB"/>
        </w:rPr>
        <w:t>Soering</w:t>
      </w:r>
      <w:proofErr w:type="spellEnd"/>
      <w:r w:rsidR="00537177" w:rsidRPr="00F938D8">
        <w:rPr>
          <w:rFonts w:asciiTheme="minorHAnsi" w:hAnsiTheme="minorHAnsi" w:cstheme="minorHAnsi"/>
          <w:lang w:val="en-GB"/>
        </w:rPr>
        <w:t>.</w:t>
      </w:r>
    </w:p>
    <w:p w14:paraId="63D8121D" w14:textId="77777777" w:rsidR="00F03B20" w:rsidRDefault="00F03B20" w:rsidP="00183A3D">
      <w:pPr>
        <w:jc w:val="both"/>
        <w:rPr>
          <w:rFonts w:asciiTheme="minorHAnsi" w:hAnsiTheme="minorHAnsi" w:cstheme="minorHAnsi"/>
          <w:lang w:val="en-GB"/>
        </w:rPr>
      </w:pPr>
    </w:p>
    <w:p w14:paraId="5FFCE39F" w14:textId="7C01488D" w:rsidR="003659DB" w:rsidRDefault="00537177" w:rsidP="00183A3D">
      <w:pPr>
        <w:jc w:val="both"/>
        <w:rPr>
          <w:rFonts w:asciiTheme="minorHAnsi" w:hAnsiTheme="minorHAnsi" w:cstheme="minorHAnsi"/>
          <w:lang w:val="en-GB"/>
        </w:rPr>
      </w:pPr>
      <w:r>
        <w:rPr>
          <w:rFonts w:asciiTheme="minorHAnsi" w:hAnsiTheme="minorHAnsi" w:cstheme="minorHAnsi"/>
          <w:lang w:val="en-GB"/>
        </w:rPr>
        <w:t xml:space="preserve">The approach of the CJEU to the relation between concerns </w:t>
      </w:r>
      <w:r w:rsidR="003F30CB">
        <w:rPr>
          <w:rFonts w:asciiTheme="minorHAnsi" w:hAnsiTheme="minorHAnsi" w:cstheme="minorHAnsi"/>
          <w:lang w:val="en-GB"/>
        </w:rPr>
        <w:t xml:space="preserve">of </w:t>
      </w:r>
      <w:r>
        <w:rPr>
          <w:rFonts w:asciiTheme="minorHAnsi" w:hAnsiTheme="minorHAnsi" w:cstheme="minorHAnsi"/>
          <w:lang w:val="en-GB"/>
        </w:rPr>
        <w:t xml:space="preserve">human rights and cooperation in criminal matters </w:t>
      </w:r>
      <w:r w:rsidR="006A183E">
        <w:rPr>
          <w:rFonts w:asciiTheme="minorHAnsi" w:hAnsiTheme="minorHAnsi" w:cstheme="minorHAnsi"/>
          <w:lang w:val="en-GB"/>
        </w:rPr>
        <w:t>ha</w:t>
      </w:r>
      <w:r w:rsidR="00A15145">
        <w:rPr>
          <w:rFonts w:asciiTheme="minorHAnsi" w:hAnsiTheme="minorHAnsi" w:cstheme="minorHAnsi"/>
          <w:lang w:val="en-GB"/>
        </w:rPr>
        <w:t>d</w:t>
      </w:r>
      <w:r w:rsidR="006A183E">
        <w:rPr>
          <w:rFonts w:asciiTheme="minorHAnsi" w:hAnsiTheme="minorHAnsi" w:cstheme="minorHAnsi"/>
          <w:lang w:val="en-GB"/>
        </w:rPr>
        <w:t xml:space="preserve"> traditionally been</w:t>
      </w:r>
      <w:r>
        <w:rPr>
          <w:rFonts w:asciiTheme="minorHAnsi" w:hAnsiTheme="minorHAnsi" w:cstheme="minorHAnsi"/>
          <w:lang w:val="en-GB"/>
        </w:rPr>
        <w:t xml:space="preserve"> a different one. The mutual trust principle was </w:t>
      </w:r>
      <w:r w:rsidR="0086401D">
        <w:rPr>
          <w:rFonts w:asciiTheme="minorHAnsi" w:hAnsiTheme="minorHAnsi" w:cstheme="minorHAnsi"/>
          <w:lang w:val="en-GB"/>
        </w:rPr>
        <w:t xml:space="preserve">indeed </w:t>
      </w:r>
      <w:r>
        <w:rPr>
          <w:rFonts w:asciiTheme="minorHAnsi" w:hAnsiTheme="minorHAnsi" w:cstheme="minorHAnsi"/>
          <w:lang w:val="en-GB"/>
        </w:rPr>
        <w:t xml:space="preserve">supposed to enable EU Member </w:t>
      </w:r>
      <w:r w:rsidR="00F03B20">
        <w:rPr>
          <w:rFonts w:asciiTheme="minorHAnsi" w:hAnsiTheme="minorHAnsi" w:cstheme="minorHAnsi"/>
          <w:lang w:val="en-GB"/>
        </w:rPr>
        <w:t>S</w:t>
      </w:r>
      <w:r>
        <w:rPr>
          <w:rFonts w:asciiTheme="minorHAnsi" w:hAnsiTheme="minorHAnsi" w:cstheme="minorHAnsi"/>
          <w:lang w:val="en-GB"/>
        </w:rPr>
        <w:t>tates to bypass the human right screening process in extradition proceedings</w:t>
      </w:r>
      <w:r w:rsidR="0086401D">
        <w:rPr>
          <w:rFonts w:asciiTheme="minorHAnsi" w:hAnsiTheme="minorHAnsi" w:cstheme="minorHAnsi"/>
          <w:lang w:val="en-GB"/>
        </w:rPr>
        <w:t xml:space="preserve"> and pre</w:t>
      </w:r>
      <w:r w:rsidR="003F30CB">
        <w:rPr>
          <w:rFonts w:asciiTheme="minorHAnsi" w:hAnsiTheme="minorHAnsi" w:cstheme="minorHAnsi"/>
          <w:lang w:val="en-GB"/>
        </w:rPr>
        <w:t>-</w:t>
      </w:r>
      <w:r w:rsidR="0086401D">
        <w:rPr>
          <w:rFonts w:asciiTheme="minorHAnsi" w:hAnsiTheme="minorHAnsi" w:cstheme="minorHAnsi"/>
          <w:lang w:val="en-GB"/>
        </w:rPr>
        <w:t xml:space="preserve">approve extradition requests. Because the mutual trust principle was in the DNA of the European arrest warrant in the sense that </w:t>
      </w:r>
      <w:r w:rsidR="00B82EA8">
        <w:rPr>
          <w:rFonts w:asciiTheme="minorHAnsi" w:hAnsiTheme="minorHAnsi" w:cstheme="minorHAnsi"/>
          <w:lang w:val="en-GB"/>
        </w:rPr>
        <w:t xml:space="preserve">it </w:t>
      </w:r>
      <w:r w:rsidR="0086401D">
        <w:rPr>
          <w:rFonts w:asciiTheme="minorHAnsi" w:hAnsiTheme="minorHAnsi" w:cstheme="minorHAnsi"/>
          <w:lang w:val="en-GB"/>
        </w:rPr>
        <w:t xml:space="preserve">was a </w:t>
      </w:r>
      <w:r w:rsidR="0086401D">
        <w:rPr>
          <w:rFonts w:asciiTheme="minorHAnsi" w:hAnsiTheme="minorHAnsi" w:cstheme="minorHAnsi"/>
          <w:i/>
          <w:iCs/>
          <w:lang w:val="en-GB"/>
        </w:rPr>
        <w:t>sine qua non</w:t>
      </w:r>
      <w:r w:rsidR="0086401D">
        <w:rPr>
          <w:rFonts w:asciiTheme="minorHAnsi" w:hAnsiTheme="minorHAnsi" w:cstheme="minorHAnsi"/>
          <w:lang w:val="en-GB"/>
        </w:rPr>
        <w:t xml:space="preserve"> condition for the European arrest warrant to</w:t>
      </w:r>
      <w:r w:rsidR="00B82EA8">
        <w:rPr>
          <w:rFonts w:asciiTheme="minorHAnsi" w:hAnsiTheme="minorHAnsi" w:cstheme="minorHAnsi"/>
          <w:lang w:val="en-GB"/>
        </w:rPr>
        <w:t xml:space="preserve"> even</w:t>
      </w:r>
      <w:r w:rsidR="0086401D">
        <w:rPr>
          <w:rFonts w:asciiTheme="minorHAnsi" w:hAnsiTheme="minorHAnsi" w:cstheme="minorHAnsi"/>
          <w:lang w:val="en-GB"/>
        </w:rPr>
        <w:t xml:space="preserve"> exist in the first place, questioning the respect of fundamental rights of EU Member </w:t>
      </w:r>
      <w:r w:rsidR="00F03B20">
        <w:rPr>
          <w:rFonts w:asciiTheme="minorHAnsi" w:hAnsiTheme="minorHAnsi" w:cstheme="minorHAnsi"/>
          <w:lang w:val="en-GB"/>
        </w:rPr>
        <w:t>S</w:t>
      </w:r>
      <w:r w:rsidR="0086401D">
        <w:rPr>
          <w:rFonts w:asciiTheme="minorHAnsi" w:hAnsiTheme="minorHAnsi" w:cstheme="minorHAnsi"/>
          <w:lang w:val="en-GB"/>
        </w:rPr>
        <w:t xml:space="preserve">tates in their application of the European arrest warrant would have amounted to casting doubt over the mutual trust principle itself. This </w:t>
      </w:r>
      <w:r w:rsidR="00CA1B22">
        <w:rPr>
          <w:rFonts w:asciiTheme="minorHAnsi" w:hAnsiTheme="minorHAnsi" w:cstheme="minorHAnsi"/>
          <w:lang w:val="en-GB"/>
        </w:rPr>
        <w:t>had</w:t>
      </w:r>
      <w:r w:rsidR="0086401D">
        <w:rPr>
          <w:rFonts w:asciiTheme="minorHAnsi" w:hAnsiTheme="minorHAnsi" w:cstheme="minorHAnsi"/>
          <w:lang w:val="en-GB"/>
        </w:rPr>
        <w:t xml:space="preserve"> not </w:t>
      </w:r>
      <w:r w:rsidR="00B34738">
        <w:rPr>
          <w:rFonts w:asciiTheme="minorHAnsi" w:hAnsiTheme="minorHAnsi" w:cstheme="minorHAnsi"/>
          <w:lang w:val="en-GB"/>
        </w:rPr>
        <w:t>been</w:t>
      </w:r>
      <w:r w:rsidR="003F30CB">
        <w:rPr>
          <w:rFonts w:asciiTheme="minorHAnsi" w:hAnsiTheme="minorHAnsi" w:cstheme="minorHAnsi"/>
          <w:lang w:val="en-GB"/>
        </w:rPr>
        <w:t xml:space="preserve"> the</w:t>
      </w:r>
      <w:r w:rsidR="00B34738">
        <w:rPr>
          <w:rFonts w:asciiTheme="minorHAnsi" w:hAnsiTheme="minorHAnsi" w:cstheme="minorHAnsi"/>
          <w:lang w:val="en-GB"/>
        </w:rPr>
        <w:t xml:space="preserve"> </w:t>
      </w:r>
      <w:r w:rsidR="0086401D">
        <w:rPr>
          <w:rFonts w:asciiTheme="minorHAnsi" w:hAnsiTheme="minorHAnsi" w:cstheme="minorHAnsi"/>
          <w:lang w:val="en-GB"/>
        </w:rPr>
        <w:t>opti</w:t>
      </w:r>
      <w:r w:rsidR="00E9695D">
        <w:rPr>
          <w:rFonts w:asciiTheme="minorHAnsi" w:hAnsiTheme="minorHAnsi" w:cstheme="minorHAnsi"/>
          <w:lang w:val="en-GB"/>
        </w:rPr>
        <w:t>on</w:t>
      </w:r>
      <w:r w:rsidR="0086401D">
        <w:rPr>
          <w:rFonts w:asciiTheme="minorHAnsi" w:hAnsiTheme="minorHAnsi" w:cstheme="minorHAnsi"/>
          <w:lang w:val="en-GB"/>
        </w:rPr>
        <w:t xml:space="preserve"> for the CJEU for a long time. </w:t>
      </w:r>
      <w:r w:rsidR="006370F4">
        <w:rPr>
          <w:rFonts w:asciiTheme="minorHAnsi" w:hAnsiTheme="minorHAnsi" w:cstheme="minorHAnsi"/>
          <w:lang w:val="en-GB"/>
        </w:rPr>
        <w:t>The blind trust policy, however, proved to be unsustainable regarding the dual obligation of EU Member States towards both the CJEU and the ECtHR.</w:t>
      </w:r>
      <w:r w:rsidR="00A40FE6">
        <w:rPr>
          <w:rFonts w:asciiTheme="minorHAnsi" w:hAnsiTheme="minorHAnsi" w:cstheme="minorHAnsi"/>
          <w:lang w:val="en-GB"/>
        </w:rPr>
        <w:t xml:space="preserve"> </w:t>
      </w:r>
      <w:r w:rsidR="006370F4">
        <w:rPr>
          <w:rFonts w:asciiTheme="minorHAnsi" w:hAnsiTheme="minorHAnsi" w:cstheme="minorHAnsi"/>
          <w:lang w:val="en-GB"/>
        </w:rPr>
        <w:t>EU Member States were indeed caught between th</w:t>
      </w:r>
      <w:r w:rsidR="00855A70">
        <w:rPr>
          <w:rFonts w:asciiTheme="minorHAnsi" w:hAnsiTheme="minorHAnsi" w:cstheme="minorHAnsi"/>
          <w:lang w:val="en-GB"/>
        </w:rPr>
        <w:t>e</w:t>
      </w:r>
      <w:r w:rsidR="00F315ED">
        <w:rPr>
          <w:rFonts w:asciiTheme="minorHAnsi" w:hAnsiTheme="minorHAnsi" w:cstheme="minorHAnsi"/>
          <w:lang w:val="en-GB"/>
        </w:rPr>
        <w:t>ir conflicting obligations deriving from the</w:t>
      </w:r>
      <w:r w:rsidR="006370F4">
        <w:rPr>
          <w:rFonts w:asciiTheme="minorHAnsi" w:hAnsiTheme="minorHAnsi" w:cstheme="minorHAnsi"/>
          <w:lang w:val="en-GB"/>
        </w:rPr>
        <w:t xml:space="preserve"> two </w:t>
      </w:r>
      <w:r w:rsidR="00A40FE6">
        <w:rPr>
          <w:rFonts w:asciiTheme="minorHAnsi" w:hAnsiTheme="minorHAnsi" w:cstheme="minorHAnsi"/>
          <w:lang w:val="en-GB"/>
        </w:rPr>
        <w:t>jurisdiction</w:t>
      </w:r>
      <w:r w:rsidR="00D94864">
        <w:rPr>
          <w:rFonts w:asciiTheme="minorHAnsi" w:hAnsiTheme="minorHAnsi" w:cstheme="minorHAnsi"/>
          <w:lang w:val="en-GB"/>
        </w:rPr>
        <w:t>s</w:t>
      </w:r>
      <w:r w:rsidR="006370F4">
        <w:rPr>
          <w:rFonts w:asciiTheme="minorHAnsi" w:hAnsiTheme="minorHAnsi" w:cstheme="minorHAnsi"/>
          <w:lang w:val="en-GB"/>
        </w:rPr>
        <w:t>.</w:t>
      </w:r>
      <w:r w:rsidR="00A40FE6">
        <w:rPr>
          <w:rStyle w:val="Appelnotedebasdep"/>
          <w:rFonts w:asciiTheme="minorHAnsi" w:hAnsiTheme="minorHAnsi" w:cstheme="minorHAnsi"/>
          <w:lang w:val="en-GB"/>
        </w:rPr>
        <w:footnoteReference w:id="76"/>
      </w:r>
      <w:r w:rsidR="002C21F9">
        <w:rPr>
          <w:rFonts w:asciiTheme="minorHAnsi" w:hAnsiTheme="minorHAnsi" w:cstheme="minorHAnsi"/>
          <w:lang w:val="en-GB"/>
        </w:rPr>
        <w:t xml:space="preserve"> </w:t>
      </w:r>
      <w:r w:rsidR="006370F4">
        <w:rPr>
          <w:rFonts w:asciiTheme="minorHAnsi" w:hAnsiTheme="minorHAnsi" w:cstheme="minorHAnsi"/>
          <w:lang w:val="en-GB"/>
        </w:rPr>
        <w:t xml:space="preserve">Had they surrendered people to a place where their human rights might be breached, they risked a condemnation before the ECtHR; had they not automatically surrendered these people, they risked a condemnation before the CJEU. </w:t>
      </w:r>
      <w:r w:rsidR="00D84F22">
        <w:rPr>
          <w:rFonts w:asciiTheme="minorHAnsi" w:hAnsiTheme="minorHAnsi" w:cstheme="minorHAnsi"/>
          <w:lang w:val="en-GB"/>
        </w:rPr>
        <w:t xml:space="preserve">As Irene </w:t>
      </w:r>
      <w:proofErr w:type="spellStart"/>
      <w:r w:rsidR="00D84F22">
        <w:rPr>
          <w:rFonts w:asciiTheme="minorHAnsi" w:hAnsiTheme="minorHAnsi" w:cstheme="minorHAnsi"/>
          <w:lang w:val="en-GB"/>
        </w:rPr>
        <w:t>Wieczorek</w:t>
      </w:r>
      <w:proofErr w:type="spellEnd"/>
      <w:r w:rsidR="00D84F22">
        <w:rPr>
          <w:rFonts w:asciiTheme="minorHAnsi" w:hAnsiTheme="minorHAnsi" w:cstheme="minorHAnsi"/>
          <w:lang w:val="en-GB"/>
        </w:rPr>
        <w:t xml:space="preserve"> pointed </w:t>
      </w:r>
      <w:r w:rsidR="003F30CB">
        <w:rPr>
          <w:rFonts w:asciiTheme="minorHAnsi" w:hAnsiTheme="minorHAnsi" w:cstheme="minorHAnsi"/>
          <w:lang w:val="en-GB"/>
        </w:rPr>
        <w:t>out</w:t>
      </w:r>
      <w:r w:rsidR="00D84F22">
        <w:rPr>
          <w:rFonts w:asciiTheme="minorHAnsi" w:hAnsiTheme="minorHAnsi" w:cstheme="minorHAnsi"/>
          <w:lang w:val="en-GB"/>
        </w:rPr>
        <w:t>, th</w:t>
      </w:r>
      <w:r w:rsidR="00564954">
        <w:rPr>
          <w:rFonts w:asciiTheme="minorHAnsi" w:hAnsiTheme="minorHAnsi" w:cstheme="minorHAnsi"/>
          <w:lang w:val="en-GB"/>
        </w:rPr>
        <w:t xml:space="preserve">ese </w:t>
      </w:r>
      <w:r w:rsidR="00CF46B7">
        <w:rPr>
          <w:rFonts w:asciiTheme="minorHAnsi" w:hAnsiTheme="minorHAnsi" w:cstheme="minorHAnsi"/>
          <w:lang w:val="en-GB"/>
        </w:rPr>
        <w:t>paradoxical</w:t>
      </w:r>
      <w:r w:rsidR="00564954">
        <w:rPr>
          <w:rFonts w:asciiTheme="minorHAnsi" w:hAnsiTheme="minorHAnsi" w:cstheme="minorHAnsi"/>
          <w:lang w:val="en-GB"/>
        </w:rPr>
        <w:t xml:space="preserve"> obligations </w:t>
      </w:r>
      <w:r w:rsidR="00D84F22">
        <w:rPr>
          <w:rFonts w:asciiTheme="minorHAnsi" w:hAnsiTheme="minorHAnsi" w:cstheme="minorHAnsi"/>
          <w:lang w:val="en-GB"/>
        </w:rPr>
        <w:t>resulted in a variety of responses by EU Member States confronted with such situations</w:t>
      </w:r>
      <w:r w:rsidR="00CA1B22">
        <w:rPr>
          <w:rFonts w:asciiTheme="minorHAnsi" w:hAnsiTheme="minorHAnsi" w:cstheme="minorHAnsi"/>
          <w:lang w:val="en-GB"/>
        </w:rPr>
        <w:t>.</w:t>
      </w:r>
      <w:r w:rsidR="00D84F22">
        <w:rPr>
          <w:rStyle w:val="Appelnotedebasdep"/>
          <w:rFonts w:asciiTheme="minorHAnsi" w:hAnsiTheme="minorHAnsi" w:cstheme="minorHAnsi"/>
          <w:lang w:val="en-GB"/>
        </w:rPr>
        <w:footnoteReference w:id="77"/>
      </w:r>
      <w:r w:rsidR="00CA1B22">
        <w:rPr>
          <w:rFonts w:asciiTheme="minorHAnsi" w:hAnsiTheme="minorHAnsi" w:cstheme="minorHAnsi"/>
          <w:lang w:val="en-GB"/>
        </w:rPr>
        <w:t xml:space="preserve"> This</w:t>
      </w:r>
      <w:r w:rsidR="00D84F22">
        <w:rPr>
          <w:rFonts w:asciiTheme="minorHAnsi" w:hAnsiTheme="minorHAnsi" w:cstheme="minorHAnsi"/>
          <w:lang w:val="en-GB"/>
        </w:rPr>
        <w:t xml:space="preserve"> was not only problematic for the general coherence between</w:t>
      </w:r>
      <w:r w:rsidR="005B2DF6">
        <w:rPr>
          <w:rFonts w:asciiTheme="minorHAnsi" w:hAnsiTheme="minorHAnsi" w:cstheme="minorHAnsi"/>
          <w:lang w:val="en-GB"/>
        </w:rPr>
        <w:t xml:space="preserve"> the</w:t>
      </w:r>
      <w:r w:rsidR="00D84F22">
        <w:rPr>
          <w:rFonts w:asciiTheme="minorHAnsi" w:hAnsiTheme="minorHAnsi" w:cstheme="minorHAnsi"/>
          <w:lang w:val="en-GB"/>
        </w:rPr>
        <w:t xml:space="preserve"> </w:t>
      </w:r>
      <w:r w:rsidR="005B2DF6">
        <w:rPr>
          <w:rFonts w:asciiTheme="minorHAnsi" w:hAnsiTheme="minorHAnsi" w:cstheme="minorHAnsi"/>
          <w:lang w:val="en-GB"/>
        </w:rPr>
        <w:t>legal systems</w:t>
      </w:r>
      <w:r w:rsidR="00291F55">
        <w:rPr>
          <w:rFonts w:asciiTheme="minorHAnsi" w:hAnsiTheme="minorHAnsi" w:cstheme="minorHAnsi"/>
          <w:lang w:val="en-GB"/>
        </w:rPr>
        <w:t xml:space="preserve"> of the </w:t>
      </w:r>
      <w:r w:rsidR="00D84F22">
        <w:rPr>
          <w:rFonts w:asciiTheme="minorHAnsi" w:hAnsiTheme="minorHAnsi" w:cstheme="minorHAnsi"/>
          <w:lang w:val="en-GB"/>
        </w:rPr>
        <w:t xml:space="preserve">EU and </w:t>
      </w:r>
      <w:r w:rsidR="003F30CB">
        <w:rPr>
          <w:rFonts w:asciiTheme="minorHAnsi" w:hAnsiTheme="minorHAnsi" w:cstheme="minorHAnsi"/>
          <w:lang w:val="en-GB"/>
        </w:rPr>
        <w:t xml:space="preserve">the </w:t>
      </w:r>
      <w:r w:rsidR="00D84F22">
        <w:rPr>
          <w:rFonts w:asciiTheme="minorHAnsi" w:hAnsiTheme="minorHAnsi" w:cstheme="minorHAnsi"/>
          <w:lang w:val="en-GB"/>
        </w:rPr>
        <w:t>C</w:t>
      </w:r>
      <w:r w:rsidR="003F30CB">
        <w:rPr>
          <w:rFonts w:asciiTheme="minorHAnsi" w:hAnsiTheme="minorHAnsi" w:cstheme="minorHAnsi"/>
          <w:lang w:val="en-GB"/>
        </w:rPr>
        <w:t xml:space="preserve">ouncil of </w:t>
      </w:r>
      <w:r w:rsidR="00D84F22">
        <w:rPr>
          <w:rFonts w:asciiTheme="minorHAnsi" w:hAnsiTheme="minorHAnsi" w:cstheme="minorHAnsi"/>
          <w:lang w:val="en-GB"/>
        </w:rPr>
        <w:t>E</w:t>
      </w:r>
      <w:r w:rsidR="003F30CB">
        <w:rPr>
          <w:rFonts w:asciiTheme="minorHAnsi" w:hAnsiTheme="minorHAnsi" w:cstheme="minorHAnsi"/>
          <w:lang w:val="en-GB"/>
        </w:rPr>
        <w:t>urope</w:t>
      </w:r>
      <w:r w:rsidR="00D84F22">
        <w:rPr>
          <w:rFonts w:asciiTheme="minorHAnsi" w:hAnsiTheme="minorHAnsi" w:cstheme="minorHAnsi"/>
          <w:lang w:val="en-GB"/>
        </w:rPr>
        <w:t>, it also resulted in a messy</w:t>
      </w:r>
      <w:r w:rsidR="008252DC">
        <w:rPr>
          <w:rFonts w:asciiTheme="minorHAnsi" w:hAnsiTheme="minorHAnsi" w:cstheme="minorHAnsi"/>
          <w:lang w:val="en-GB"/>
        </w:rPr>
        <w:t xml:space="preserve"> </w:t>
      </w:r>
      <w:r w:rsidR="009C404B">
        <w:rPr>
          <w:rFonts w:asciiTheme="minorHAnsi" w:hAnsiTheme="minorHAnsi" w:cstheme="minorHAnsi"/>
          <w:lang w:val="en-GB"/>
        </w:rPr>
        <w:t xml:space="preserve">and inconsistent </w:t>
      </w:r>
      <w:r w:rsidR="008252DC">
        <w:rPr>
          <w:rFonts w:asciiTheme="minorHAnsi" w:hAnsiTheme="minorHAnsi" w:cstheme="minorHAnsi"/>
          <w:lang w:val="en-GB"/>
        </w:rPr>
        <w:t>(non-)</w:t>
      </w:r>
      <w:r w:rsidR="00D84F22">
        <w:rPr>
          <w:rFonts w:asciiTheme="minorHAnsi" w:hAnsiTheme="minorHAnsi" w:cstheme="minorHAnsi"/>
          <w:lang w:val="en-GB"/>
        </w:rPr>
        <w:t>application of EU law.</w:t>
      </w:r>
    </w:p>
    <w:p w14:paraId="597A8066" w14:textId="77777777" w:rsidR="003659DB" w:rsidRDefault="003659DB" w:rsidP="00183A3D">
      <w:pPr>
        <w:jc w:val="both"/>
        <w:rPr>
          <w:rFonts w:asciiTheme="minorHAnsi" w:hAnsiTheme="minorHAnsi" w:cstheme="minorHAnsi"/>
          <w:lang w:val="en-GB"/>
        </w:rPr>
      </w:pPr>
    </w:p>
    <w:p w14:paraId="3A49BB6E" w14:textId="0059AB46" w:rsidR="00054EA7" w:rsidRDefault="00B82EA8" w:rsidP="003659DB">
      <w:pPr>
        <w:jc w:val="both"/>
        <w:rPr>
          <w:rStyle w:val="Accentuation"/>
          <w:rFonts w:asciiTheme="minorHAnsi" w:eastAsiaTheme="majorEastAsia" w:hAnsiTheme="minorHAnsi" w:cstheme="minorHAnsi"/>
          <w:i w:val="0"/>
          <w:iCs w:val="0"/>
          <w:color w:val="000000" w:themeColor="text1"/>
          <w:bdr w:val="none" w:sz="0" w:space="0" w:color="auto" w:frame="1"/>
          <w:lang w:val="en-US"/>
        </w:rPr>
      </w:pPr>
      <w:r>
        <w:rPr>
          <w:rFonts w:asciiTheme="minorHAnsi" w:hAnsiTheme="minorHAnsi" w:cstheme="minorHAnsi"/>
          <w:lang w:val="en-GB"/>
        </w:rPr>
        <w:t>Th</w:t>
      </w:r>
      <w:r w:rsidR="00AA6CF5">
        <w:rPr>
          <w:rFonts w:asciiTheme="minorHAnsi" w:hAnsiTheme="minorHAnsi" w:cstheme="minorHAnsi"/>
          <w:lang w:val="en-GB"/>
        </w:rPr>
        <w:t>is</w:t>
      </w:r>
      <w:r>
        <w:rPr>
          <w:rFonts w:asciiTheme="minorHAnsi" w:hAnsiTheme="minorHAnsi" w:cstheme="minorHAnsi"/>
          <w:lang w:val="en-GB"/>
        </w:rPr>
        <w:t xml:space="preserve"> </w:t>
      </w:r>
      <w:r w:rsidR="00564954">
        <w:rPr>
          <w:rFonts w:asciiTheme="minorHAnsi" w:hAnsiTheme="minorHAnsi" w:cstheme="minorHAnsi"/>
          <w:lang w:val="en-GB"/>
        </w:rPr>
        <w:t xml:space="preserve">tension </w:t>
      </w:r>
      <w:r>
        <w:rPr>
          <w:rFonts w:asciiTheme="minorHAnsi" w:hAnsiTheme="minorHAnsi" w:cstheme="minorHAnsi"/>
          <w:lang w:val="en-GB"/>
        </w:rPr>
        <w:t>decreased i</w:t>
      </w:r>
      <w:r w:rsidR="003659DB">
        <w:rPr>
          <w:rFonts w:asciiTheme="minorHAnsi" w:hAnsiTheme="minorHAnsi" w:cstheme="minorHAnsi"/>
          <w:lang w:val="en-GB"/>
        </w:rPr>
        <w:t xml:space="preserve">n recent years, </w:t>
      </w:r>
      <w:r>
        <w:rPr>
          <w:rFonts w:asciiTheme="minorHAnsi" w:hAnsiTheme="minorHAnsi" w:cstheme="minorHAnsi"/>
          <w:lang w:val="en-GB"/>
        </w:rPr>
        <w:t xml:space="preserve">as </w:t>
      </w:r>
      <w:r w:rsidR="003659DB">
        <w:rPr>
          <w:rFonts w:asciiTheme="minorHAnsi" w:hAnsiTheme="minorHAnsi" w:cstheme="minorHAnsi"/>
          <w:lang w:val="en-US"/>
        </w:rPr>
        <w:t xml:space="preserve">the CJEU </w:t>
      </w:r>
      <w:r w:rsidR="003659DB" w:rsidRPr="00533D7F">
        <w:rPr>
          <w:rFonts w:asciiTheme="minorHAnsi" w:hAnsiTheme="minorHAnsi" w:cstheme="minorHAnsi"/>
          <w:lang w:val="en-US"/>
        </w:rPr>
        <w:t>increasing</w:t>
      </w:r>
      <w:r w:rsidR="003659DB">
        <w:rPr>
          <w:rFonts w:asciiTheme="minorHAnsi" w:hAnsiTheme="minorHAnsi" w:cstheme="minorHAnsi"/>
          <w:lang w:val="en-US"/>
        </w:rPr>
        <w:t>ly</w:t>
      </w:r>
      <w:r w:rsidR="003659DB" w:rsidRPr="00533D7F">
        <w:rPr>
          <w:rFonts w:asciiTheme="minorHAnsi" w:hAnsiTheme="minorHAnsi" w:cstheme="minorHAnsi"/>
          <w:lang w:val="en-US"/>
        </w:rPr>
        <w:t xml:space="preserve"> </w:t>
      </w:r>
      <w:r w:rsidR="00E9695D">
        <w:rPr>
          <w:rFonts w:asciiTheme="minorHAnsi" w:hAnsiTheme="minorHAnsi" w:cstheme="minorHAnsi"/>
          <w:lang w:val="en-US"/>
        </w:rPr>
        <w:t xml:space="preserve">nuanced </w:t>
      </w:r>
      <w:r w:rsidR="003659DB" w:rsidRPr="00533D7F">
        <w:rPr>
          <w:rFonts w:asciiTheme="minorHAnsi" w:hAnsiTheme="minorHAnsi" w:cstheme="minorHAnsi"/>
          <w:lang w:val="en-US"/>
        </w:rPr>
        <w:t xml:space="preserve">the </w:t>
      </w:r>
      <w:proofErr w:type="spellStart"/>
      <w:r w:rsidR="003659DB" w:rsidRPr="00533D7F">
        <w:rPr>
          <w:rFonts w:asciiTheme="minorHAnsi" w:hAnsiTheme="minorHAnsi" w:cstheme="minorHAnsi"/>
          <w:lang w:val="en-US"/>
        </w:rPr>
        <w:t>automatisation</w:t>
      </w:r>
      <w:proofErr w:type="spellEnd"/>
      <w:r w:rsidR="003659DB" w:rsidRPr="00533D7F">
        <w:rPr>
          <w:rFonts w:asciiTheme="minorHAnsi" w:hAnsiTheme="minorHAnsi" w:cstheme="minorHAnsi"/>
          <w:lang w:val="en-US"/>
        </w:rPr>
        <w:t xml:space="preserve"> of </w:t>
      </w:r>
      <w:r w:rsidR="003659DB">
        <w:rPr>
          <w:rFonts w:asciiTheme="minorHAnsi" w:hAnsiTheme="minorHAnsi" w:cstheme="minorHAnsi"/>
          <w:lang w:val="en-US"/>
        </w:rPr>
        <w:t>surrenders in the EU</w:t>
      </w:r>
      <w:r w:rsidR="003659DB" w:rsidRPr="00533D7F">
        <w:rPr>
          <w:rFonts w:asciiTheme="minorHAnsi" w:hAnsiTheme="minorHAnsi" w:cstheme="minorHAnsi"/>
          <w:lang w:val="en-US"/>
        </w:rPr>
        <w:t xml:space="preserve"> by</w:t>
      </w:r>
      <w:r w:rsidR="003659DB">
        <w:rPr>
          <w:rFonts w:asciiTheme="minorHAnsi" w:hAnsiTheme="minorHAnsi" w:cstheme="minorHAnsi"/>
          <w:lang w:val="en-US"/>
        </w:rPr>
        <w:t xml:space="preserve"> subordinating them to human rights</w:t>
      </w:r>
      <w:r w:rsidR="004C46FA">
        <w:rPr>
          <w:rFonts w:asciiTheme="minorHAnsi" w:hAnsiTheme="minorHAnsi" w:cstheme="minorHAnsi"/>
          <w:lang w:val="en-US"/>
        </w:rPr>
        <w:t xml:space="preserve"> concerns</w:t>
      </w:r>
      <w:r w:rsidR="003659DB">
        <w:rPr>
          <w:rFonts w:asciiTheme="minorHAnsi" w:hAnsiTheme="minorHAnsi" w:cstheme="minorHAnsi"/>
          <w:lang w:val="en-US"/>
        </w:rPr>
        <w:t>.</w:t>
      </w:r>
      <w:r w:rsidR="003659DB" w:rsidRPr="00094D59">
        <w:rPr>
          <w:rStyle w:val="Appelnotedebasdep"/>
          <w:rFonts w:asciiTheme="minorHAnsi" w:hAnsiTheme="minorHAnsi" w:cstheme="minorHAnsi"/>
          <w:lang w:val="en-GB"/>
        </w:rPr>
        <w:footnoteReference w:id="78"/>
      </w:r>
      <w:r w:rsidR="003659DB" w:rsidRPr="00533D7F" w:rsidDel="003659DB">
        <w:rPr>
          <w:rFonts w:asciiTheme="minorHAnsi" w:hAnsiTheme="minorHAnsi" w:cstheme="minorHAnsi"/>
          <w:lang w:val="en-US"/>
        </w:rPr>
        <w:t xml:space="preserve"> </w:t>
      </w:r>
      <w:r w:rsidR="00483D1C">
        <w:rPr>
          <w:rFonts w:asciiTheme="minorHAnsi" w:hAnsiTheme="minorHAnsi" w:cstheme="minorHAnsi"/>
          <w:lang w:val="en-US"/>
        </w:rPr>
        <w:t xml:space="preserve">With cases like </w:t>
      </w:r>
      <w:proofErr w:type="spellStart"/>
      <w:r w:rsidR="00483D1C" w:rsidRPr="00F938D8">
        <w:rPr>
          <w:rFonts w:asciiTheme="minorHAnsi" w:hAnsiTheme="minorHAnsi" w:cstheme="minorHAnsi"/>
          <w:i/>
          <w:iCs/>
          <w:lang w:val="en-US"/>
        </w:rPr>
        <w:t>Aranyosi</w:t>
      </w:r>
      <w:proofErr w:type="spellEnd"/>
      <w:r w:rsidR="00483D1C">
        <w:rPr>
          <w:rFonts w:asciiTheme="minorHAnsi" w:hAnsiTheme="minorHAnsi" w:cstheme="minorHAnsi"/>
          <w:lang w:val="en-US"/>
        </w:rPr>
        <w:t xml:space="preserve"> or </w:t>
      </w:r>
      <w:r w:rsidR="00483D1C" w:rsidRPr="00F938D8">
        <w:rPr>
          <w:rFonts w:asciiTheme="minorHAnsi" w:hAnsiTheme="minorHAnsi" w:cstheme="minorHAnsi"/>
          <w:i/>
          <w:iCs/>
          <w:lang w:val="en-US"/>
        </w:rPr>
        <w:t>LM</w:t>
      </w:r>
      <w:r w:rsidR="00483D1C">
        <w:rPr>
          <w:rFonts w:asciiTheme="minorHAnsi" w:hAnsiTheme="minorHAnsi" w:cstheme="minorHAnsi"/>
          <w:lang w:val="en-US"/>
        </w:rPr>
        <w:t>, the</w:t>
      </w:r>
      <w:r w:rsidR="00DD74B2" w:rsidRPr="00094D59">
        <w:rPr>
          <w:rFonts w:asciiTheme="minorHAnsi" w:hAnsiTheme="minorHAnsi" w:cstheme="minorHAnsi"/>
          <w:color w:val="000000" w:themeColor="text1"/>
          <w:lang w:val="en-GB"/>
        </w:rPr>
        <w:t xml:space="preserve"> CJEU </w:t>
      </w:r>
      <w:r w:rsidR="00FF7737">
        <w:rPr>
          <w:rFonts w:asciiTheme="minorHAnsi" w:hAnsiTheme="minorHAnsi" w:cstheme="minorHAnsi"/>
          <w:color w:val="000000" w:themeColor="text1"/>
          <w:lang w:val="en-GB"/>
        </w:rPr>
        <w:t xml:space="preserve">indeed </w:t>
      </w:r>
      <w:r w:rsidR="00DD74B2" w:rsidRPr="00094D59">
        <w:rPr>
          <w:rFonts w:asciiTheme="minorHAnsi" w:hAnsiTheme="minorHAnsi" w:cstheme="minorHAnsi"/>
          <w:color w:val="000000" w:themeColor="text1"/>
          <w:lang w:val="en-GB"/>
        </w:rPr>
        <w:t>outlined the circumstances under which the principle of mutual trust can be rebutted and the application of European arrest warrants prevented.</w:t>
      </w:r>
      <w:r w:rsidR="00DD74B2" w:rsidRPr="00094D59">
        <w:rPr>
          <w:rStyle w:val="Appelnotedebasdep"/>
          <w:rFonts w:asciiTheme="minorHAnsi" w:hAnsiTheme="minorHAnsi" w:cstheme="minorHAnsi"/>
          <w:color w:val="000000" w:themeColor="text1"/>
          <w:lang w:val="en-GB"/>
        </w:rPr>
        <w:footnoteReference w:id="79"/>
      </w:r>
      <w:r w:rsidR="00DD74B2" w:rsidRPr="00094D59">
        <w:rPr>
          <w:rStyle w:val="Accentuation"/>
          <w:rFonts w:asciiTheme="minorHAnsi" w:eastAsiaTheme="majorEastAsia" w:hAnsiTheme="minorHAnsi" w:cstheme="minorHAnsi"/>
          <w:color w:val="000000" w:themeColor="text1"/>
          <w:bdr w:val="none" w:sz="0" w:space="0" w:color="auto" w:frame="1"/>
          <w:lang w:val="en-GB"/>
        </w:rPr>
        <w:t xml:space="preserve"> </w:t>
      </w:r>
      <w:r w:rsidR="009521E5">
        <w:rPr>
          <w:rStyle w:val="Accentuation"/>
          <w:rFonts w:asciiTheme="minorHAnsi" w:eastAsiaTheme="majorEastAsia" w:hAnsiTheme="minorHAnsi" w:cstheme="minorHAnsi"/>
          <w:i w:val="0"/>
          <w:iCs w:val="0"/>
          <w:color w:val="000000" w:themeColor="text1"/>
          <w:bdr w:val="none" w:sz="0" w:space="0" w:color="auto" w:frame="1"/>
          <w:lang w:val="en-GB"/>
        </w:rPr>
        <w:t xml:space="preserve">In </w:t>
      </w:r>
      <w:proofErr w:type="spellStart"/>
      <w:r w:rsidR="009521E5">
        <w:rPr>
          <w:rStyle w:val="Accentuation"/>
          <w:rFonts w:asciiTheme="minorHAnsi" w:eastAsiaTheme="majorEastAsia" w:hAnsiTheme="minorHAnsi" w:cstheme="minorHAnsi"/>
          <w:color w:val="000000" w:themeColor="text1"/>
          <w:bdr w:val="none" w:sz="0" w:space="0" w:color="auto" w:frame="1"/>
          <w:lang w:val="en-GB"/>
        </w:rPr>
        <w:t>Aranyosi</w:t>
      </w:r>
      <w:proofErr w:type="spellEnd"/>
      <w:r w:rsidR="009521E5">
        <w:rPr>
          <w:rStyle w:val="Accentuation"/>
          <w:rFonts w:asciiTheme="minorHAnsi" w:eastAsiaTheme="majorEastAsia" w:hAnsiTheme="minorHAnsi" w:cstheme="minorHAnsi"/>
          <w:i w:val="0"/>
          <w:iCs w:val="0"/>
          <w:color w:val="000000" w:themeColor="text1"/>
          <w:bdr w:val="none" w:sz="0" w:space="0" w:color="auto" w:frame="1"/>
          <w:lang w:val="en-GB"/>
        </w:rPr>
        <w:t>, the</w:t>
      </w:r>
      <w:r w:rsidR="00DD74B2" w:rsidRPr="00094D59">
        <w:rPr>
          <w:rStyle w:val="Accentuation"/>
          <w:rFonts w:asciiTheme="minorHAnsi" w:eastAsiaTheme="majorEastAsia" w:hAnsiTheme="minorHAnsi" w:cstheme="minorHAnsi"/>
          <w:i w:val="0"/>
          <w:iCs w:val="0"/>
          <w:color w:val="000000" w:themeColor="text1"/>
          <w:bdr w:val="none" w:sz="0" w:space="0" w:color="auto" w:frame="1"/>
          <w:lang w:val="en-GB"/>
        </w:rPr>
        <w:t xml:space="preserve"> CJEU </w:t>
      </w:r>
      <w:r w:rsidR="0040108B">
        <w:rPr>
          <w:rStyle w:val="Accentuation"/>
          <w:rFonts w:asciiTheme="minorHAnsi" w:eastAsiaTheme="majorEastAsia" w:hAnsiTheme="minorHAnsi" w:cstheme="minorHAnsi"/>
          <w:i w:val="0"/>
          <w:iCs w:val="0"/>
          <w:color w:val="000000" w:themeColor="text1"/>
          <w:bdr w:val="none" w:sz="0" w:space="0" w:color="auto" w:frame="1"/>
          <w:lang w:val="en-GB"/>
        </w:rPr>
        <w:t>designed</w:t>
      </w:r>
      <w:r w:rsidR="00DD74B2" w:rsidRPr="00094D59">
        <w:rPr>
          <w:rStyle w:val="Accentuation"/>
          <w:rFonts w:asciiTheme="minorHAnsi" w:eastAsiaTheme="majorEastAsia" w:hAnsiTheme="minorHAnsi" w:cstheme="minorHAnsi"/>
          <w:i w:val="0"/>
          <w:iCs w:val="0"/>
          <w:color w:val="000000" w:themeColor="text1"/>
          <w:bdr w:val="none" w:sz="0" w:space="0" w:color="auto" w:frame="1"/>
          <w:lang w:val="en-GB"/>
        </w:rPr>
        <w:t xml:space="preserve"> a two-step approach to determine whether the human rights of the person would be endangered in </w:t>
      </w:r>
      <w:r w:rsidR="003F30CB">
        <w:rPr>
          <w:rStyle w:val="Accentuation"/>
          <w:rFonts w:asciiTheme="minorHAnsi" w:eastAsiaTheme="majorEastAsia" w:hAnsiTheme="minorHAnsi" w:cstheme="minorHAnsi"/>
          <w:i w:val="0"/>
          <w:iCs w:val="0"/>
          <w:color w:val="000000" w:themeColor="text1"/>
          <w:bdr w:val="none" w:sz="0" w:space="0" w:color="auto" w:frame="1"/>
          <w:lang w:val="en-GB"/>
        </w:rPr>
        <w:t xml:space="preserve">the </w:t>
      </w:r>
      <w:r w:rsidR="00DD74B2" w:rsidRPr="00094D59">
        <w:rPr>
          <w:rStyle w:val="Accentuation"/>
          <w:rFonts w:asciiTheme="minorHAnsi" w:eastAsiaTheme="majorEastAsia" w:hAnsiTheme="minorHAnsi" w:cstheme="minorHAnsi"/>
          <w:i w:val="0"/>
          <w:iCs w:val="0"/>
          <w:color w:val="000000" w:themeColor="text1"/>
          <w:bdr w:val="none" w:sz="0" w:space="0" w:color="auto" w:frame="1"/>
          <w:lang w:val="en-GB"/>
        </w:rPr>
        <w:t>case of surrender. The first step consist</w:t>
      </w:r>
      <w:r w:rsidR="00FF7737">
        <w:rPr>
          <w:rStyle w:val="Accentuation"/>
          <w:rFonts w:asciiTheme="minorHAnsi" w:eastAsiaTheme="majorEastAsia" w:hAnsiTheme="minorHAnsi" w:cstheme="minorHAnsi"/>
          <w:i w:val="0"/>
          <w:iCs w:val="0"/>
          <w:color w:val="000000" w:themeColor="text1"/>
          <w:bdr w:val="none" w:sz="0" w:space="0" w:color="auto" w:frame="1"/>
          <w:lang w:val="en-GB"/>
        </w:rPr>
        <w:t>s</w:t>
      </w:r>
      <w:r w:rsidR="00DD74B2" w:rsidRPr="00094D59">
        <w:rPr>
          <w:rStyle w:val="Accentuation"/>
          <w:rFonts w:asciiTheme="minorHAnsi" w:eastAsiaTheme="majorEastAsia" w:hAnsiTheme="minorHAnsi" w:cstheme="minorHAnsi"/>
          <w:i w:val="0"/>
          <w:iCs w:val="0"/>
          <w:color w:val="000000" w:themeColor="text1"/>
          <w:bdr w:val="none" w:sz="0" w:space="0" w:color="auto" w:frame="1"/>
          <w:lang w:val="en-GB"/>
        </w:rPr>
        <w:t xml:space="preserve"> </w:t>
      </w:r>
      <w:r w:rsidR="00291F55">
        <w:rPr>
          <w:rStyle w:val="Accentuation"/>
          <w:rFonts w:asciiTheme="minorHAnsi" w:eastAsiaTheme="majorEastAsia" w:hAnsiTheme="minorHAnsi" w:cstheme="minorHAnsi"/>
          <w:i w:val="0"/>
          <w:iCs w:val="0"/>
          <w:color w:val="000000" w:themeColor="text1"/>
          <w:bdr w:val="none" w:sz="0" w:space="0" w:color="auto" w:frame="1"/>
          <w:lang w:val="en-GB"/>
        </w:rPr>
        <w:t>of</w:t>
      </w:r>
      <w:r w:rsidR="00DD74B2" w:rsidRPr="00094D59">
        <w:rPr>
          <w:rStyle w:val="Accentuation"/>
          <w:rFonts w:asciiTheme="minorHAnsi" w:eastAsiaTheme="majorEastAsia" w:hAnsiTheme="minorHAnsi" w:cstheme="minorHAnsi"/>
          <w:i w:val="0"/>
          <w:iCs w:val="0"/>
          <w:color w:val="000000" w:themeColor="text1"/>
          <w:bdr w:val="none" w:sz="0" w:space="0" w:color="auto" w:frame="1"/>
          <w:lang w:val="en-GB"/>
        </w:rPr>
        <w:t xml:space="preserve"> an assessment of whether or not there were systematic deficiencies observed in one EU Member State regarding the application of the EU Charter on </w:t>
      </w:r>
      <w:r w:rsidR="0090632D">
        <w:rPr>
          <w:rStyle w:val="Accentuation"/>
          <w:rFonts w:asciiTheme="minorHAnsi" w:eastAsiaTheme="majorEastAsia" w:hAnsiTheme="minorHAnsi" w:cstheme="minorHAnsi"/>
          <w:i w:val="0"/>
          <w:iCs w:val="0"/>
          <w:color w:val="000000" w:themeColor="text1"/>
          <w:bdr w:val="none" w:sz="0" w:space="0" w:color="auto" w:frame="1"/>
          <w:lang w:val="en-GB"/>
        </w:rPr>
        <w:t>f</w:t>
      </w:r>
      <w:r w:rsidR="00DD74B2" w:rsidRPr="00094D59">
        <w:rPr>
          <w:rStyle w:val="Accentuation"/>
          <w:rFonts w:asciiTheme="minorHAnsi" w:eastAsiaTheme="majorEastAsia" w:hAnsiTheme="minorHAnsi" w:cstheme="minorHAnsi"/>
          <w:i w:val="0"/>
          <w:iCs w:val="0"/>
          <w:color w:val="000000" w:themeColor="text1"/>
          <w:bdr w:val="none" w:sz="0" w:space="0" w:color="auto" w:frame="1"/>
          <w:lang w:val="en-GB"/>
        </w:rPr>
        <w:t xml:space="preserve">undamental rights. The second step then </w:t>
      </w:r>
      <w:r w:rsidR="00054EA7">
        <w:rPr>
          <w:rStyle w:val="Accentuation"/>
          <w:rFonts w:asciiTheme="minorHAnsi" w:eastAsiaTheme="majorEastAsia" w:hAnsiTheme="minorHAnsi" w:cstheme="minorHAnsi"/>
          <w:i w:val="0"/>
          <w:iCs w:val="0"/>
          <w:color w:val="000000" w:themeColor="text1"/>
          <w:bdr w:val="none" w:sz="0" w:space="0" w:color="auto" w:frame="1"/>
          <w:lang w:val="en-GB"/>
        </w:rPr>
        <w:t>seeks</w:t>
      </w:r>
      <w:r w:rsidR="00DD74B2" w:rsidRPr="00094D59">
        <w:rPr>
          <w:rStyle w:val="Accentuation"/>
          <w:rFonts w:asciiTheme="minorHAnsi" w:eastAsiaTheme="majorEastAsia" w:hAnsiTheme="minorHAnsi" w:cstheme="minorHAnsi"/>
          <w:i w:val="0"/>
          <w:iCs w:val="0"/>
          <w:color w:val="000000" w:themeColor="text1"/>
          <w:bdr w:val="none" w:sz="0" w:space="0" w:color="auto" w:frame="1"/>
          <w:lang w:val="en-GB"/>
        </w:rPr>
        <w:t xml:space="preserve"> to gauge how these deficiencies apply to the individual case of the person sought.</w:t>
      </w:r>
      <w:r w:rsidR="00DD74B2" w:rsidRPr="00094D59">
        <w:rPr>
          <w:rStyle w:val="Appelnotedebasdep"/>
          <w:rFonts w:asciiTheme="minorHAnsi" w:eastAsiaTheme="majorEastAsia" w:hAnsiTheme="minorHAnsi" w:cstheme="minorHAnsi"/>
          <w:color w:val="000000" w:themeColor="text1"/>
          <w:bdr w:val="none" w:sz="0" w:space="0" w:color="auto" w:frame="1"/>
          <w:lang w:val="en-GB"/>
        </w:rPr>
        <w:footnoteReference w:id="80"/>
      </w:r>
      <w:r w:rsidR="00DD74B2" w:rsidRPr="00094D59">
        <w:rPr>
          <w:rStyle w:val="Accentuation"/>
          <w:rFonts w:asciiTheme="minorHAnsi" w:eastAsiaTheme="majorEastAsia" w:hAnsiTheme="minorHAnsi" w:cstheme="minorHAnsi"/>
          <w:i w:val="0"/>
          <w:iCs w:val="0"/>
          <w:color w:val="000000" w:themeColor="text1"/>
          <w:bdr w:val="none" w:sz="0" w:space="0" w:color="auto" w:frame="1"/>
          <w:lang w:val="en-GB"/>
        </w:rPr>
        <w:t xml:space="preserve"> To that purpose, the issuing Member State is encouraged to request</w:t>
      </w:r>
      <w:r w:rsidR="00DD74B2" w:rsidRPr="00533D7F">
        <w:rPr>
          <w:rStyle w:val="Accentuation"/>
          <w:rFonts w:asciiTheme="minorHAnsi" w:eastAsiaTheme="majorEastAsia" w:hAnsiTheme="minorHAnsi" w:cstheme="minorHAnsi"/>
          <w:i w:val="0"/>
          <w:iCs w:val="0"/>
          <w:color w:val="000000" w:themeColor="text1"/>
          <w:bdr w:val="none" w:sz="0" w:space="0" w:color="auto" w:frame="1"/>
          <w:lang w:val="en-US"/>
        </w:rPr>
        <w:t xml:space="preserve"> supplementary information.</w:t>
      </w:r>
      <w:r w:rsidR="00DD74B2" w:rsidRPr="00533D7F">
        <w:rPr>
          <w:rStyle w:val="Appelnotedebasdep"/>
          <w:rFonts w:asciiTheme="minorHAnsi" w:eastAsiaTheme="majorEastAsia" w:hAnsiTheme="minorHAnsi" w:cstheme="minorHAnsi"/>
          <w:color w:val="000000" w:themeColor="text1"/>
          <w:bdr w:val="none" w:sz="0" w:space="0" w:color="auto" w:frame="1"/>
          <w:lang w:val="en-US"/>
        </w:rPr>
        <w:footnoteReference w:id="81"/>
      </w:r>
      <w:r w:rsidR="00DD74B2" w:rsidRPr="00533D7F">
        <w:rPr>
          <w:rStyle w:val="Accentuation"/>
          <w:rFonts w:asciiTheme="minorHAnsi" w:eastAsiaTheme="majorEastAsia" w:hAnsiTheme="minorHAnsi" w:cstheme="minorHAnsi"/>
          <w:i w:val="0"/>
          <w:iCs w:val="0"/>
          <w:color w:val="000000" w:themeColor="text1"/>
          <w:bdr w:val="none" w:sz="0" w:space="0" w:color="auto" w:frame="1"/>
          <w:lang w:val="en-US"/>
        </w:rPr>
        <w:t xml:space="preserve"> </w:t>
      </w:r>
      <w:r w:rsidR="0083283C">
        <w:rPr>
          <w:rStyle w:val="Accentuation"/>
          <w:rFonts w:asciiTheme="minorHAnsi" w:eastAsiaTheme="majorEastAsia" w:hAnsiTheme="minorHAnsi" w:cstheme="minorHAnsi"/>
          <w:i w:val="0"/>
          <w:iCs w:val="0"/>
          <w:color w:val="000000" w:themeColor="text1"/>
          <w:bdr w:val="none" w:sz="0" w:space="0" w:color="auto" w:frame="1"/>
          <w:lang w:val="en-GB"/>
        </w:rPr>
        <w:t>This</w:t>
      </w:r>
      <w:r w:rsidR="0083283C" w:rsidRPr="00094D59">
        <w:rPr>
          <w:rStyle w:val="Accentuation"/>
          <w:rFonts w:asciiTheme="minorHAnsi" w:eastAsiaTheme="majorEastAsia" w:hAnsiTheme="minorHAnsi" w:cstheme="minorHAnsi"/>
          <w:i w:val="0"/>
          <w:iCs w:val="0"/>
          <w:color w:val="000000" w:themeColor="text1"/>
          <w:bdr w:val="none" w:sz="0" w:space="0" w:color="auto" w:frame="1"/>
          <w:lang w:val="en-GB"/>
        </w:rPr>
        <w:t xml:space="preserve"> more compromising stance is said to contrast with the one it had adopted in the past, where it focused on automatising surrenders.</w:t>
      </w:r>
      <w:r w:rsidR="0083283C" w:rsidRPr="00094D59">
        <w:rPr>
          <w:rStyle w:val="Appelnotedebasdep"/>
          <w:rFonts w:asciiTheme="minorHAnsi" w:eastAsiaTheme="majorEastAsia" w:hAnsiTheme="minorHAnsi" w:cstheme="minorHAnsi"/>
          <w:color w:val="000000" w:themeColor="text1"/>
          <w:bdr w:val="none" w:sz="0" w:space="0" w:color="auto" w:frame="1"/>
          <w:lang w:val="en-GB"/>
        </w:rPr>
        <w:footnoteReference w:id="82"/>
      </w:r>
      <w:r w:rsidR="00054EA7">
        <w:rPr>
          <w:rStyle w:val="Accentuation"/>
          <w:rFonts w:asciiTheme="minorHAnsi" w:eastAsiaTheme="majorEastAsia" w:hAnsiTheme="minorHAnsi" w:cstheme="minorHAnsi"/>
          <w:i w:val="0"/>
          <w:iCs w:val="0"/>
          <w:color w:val="000000" w:themeColor="text1"/>
          <w:bdr w:val="none" w:sz="0" w:space="0" w:color="auto" w:frame="1"/>
          <w:lang w:val="en-US"/>
        </w:rPr>
        <w:t xml:space="preserve"> </w:t>
      </w:r>
    </w:p>
    <w:p w14:paraId="4C4C45F2" w14:textId="77777777" w:rsidR="002A54E5" w:rsidRDefault="002A54E5" w:rsidP="00CA1B22">
      <w:pPr>
        <w:autoSpaceDE w:val="0"/>
        <w:autoSpaceDN w:val="0"/>
        <w:adjustRightInd w:val="0"/>
        <w:jc w:val="both"/>
        <w:rPr>
          <w:rStyle w:val="Accentuation"/>
          <w:rFonts w:asciiTheme="minorHAnsi" w:eastAsiaTheme="majorEastAsia" w:hAnsiTheme="minorHAnsi" w:cstheme="minorHAnsi"/>
          <w:i w:val="0"/>
          <w:iCs w:val="0"/>
          <w:color w:val="000000" w:themeColor="text1"/>
          <w:bdr w:val="none" w:sz="0" w:space="0" w:color="auto" w:frame="1"/>
          <w:lang w:val="en-US"/>
        </w:rPr>
      </w:pPr>
    </w:p>
    <w:p w14:paraId="70399ABE" w14:textId="3FC1E14F" w:rsidR="00CA1B22" w:rsidRDefault="00E9695D" w:rsidP="00CA1B22">
      <w:pPr>
        <w:autoSpaceDE w:val="0"/>
        <w:autoSpaceDN w:val="0"/>
        <w:adjustRightInd w:val="0"/>
        <w:jc w:val="both"/>
        <w:rPr>
          <w:rStyle w:val="Accentuation"/>
          <w:rFonts w:asciiTheme="minorHAnsi" w:eastAsiaTheme="majorEastAsia" w:hAnsiTheme="minorHAnsi" w:cstheme="minorHAnsi"/>
          <w:i w:val="0"/>
          <w:iCs w:val="0"/>
          <w:color w:val="000000" w:themeColor="text1"/>
          <w:bdr w:val="none" w:sz="0" w:space="0" w:color="auto" w:frame="1"/>
          <w:lang w:val="en-US"/>
        </w:rPr>
      </w:pPr>
      <w:r>
        <w:rPr>
          <w:rStyle w:val="Accentuation"/>
          <w:rFonts w:asciiTheme="minorHAnsi" w:eastAsiaTheme="majorEastAsia" w:hAnsiTheme="minorHAnsi" w:cstheme="minorHAnsi"/>
          <w:i w:val="0"/>
          <w:iCs w:val="0"/>
          <w:color w:val="000000" w:themeColor="text1"/>
          <w:bdr w:val="none" w:sz="0" w:space="0" w:color="auto" w:frame="1"/>
          <w:lang w:val="en-US"/>
        </w:rPr>
        <w:lastRenderedPageBreak/>
        <w:t>W</w:t>
      </w:r>
      <w:r w:rsidR="00054EA7">
        <w:rPr>
          <w:rStyle w:val="Accentuation"/>
          <w:rFonts w:asciiTheme="minorHAnsi" w:eastAsiaTheme="majorEastAsia" w:hAnsiTheme="minorHAnsi" w:cstheme="minorHAnsi"/>
          <w:i w:val="0"/>
          <w:iCs w:val="0"/>
          <w:color w:val="000000" w:themeColor="text1"/>
          <w:bdr w:val="none" w:sz="0" w:space="0" w:color="auto" w:frame="1"/>
          <w:lang w:val="en-US"/>
        </w:rPr>
        <w:t xml:space="preserve">ith </w:t>
      </w:r>
      <w:r w:rsidR="00244770">
        <w:rPr>
          <w:rStyle w:val="Accentuation"/>
          <w:rFonts w:asciiTheme="minorHAnsi" w:eastAsiaTheme="majorEastAsia" w:hAnsiTheme="minorHAnsi" w:cstheme="minorHAnsi"/>
          <w:i w:val="0"/>
          <w:iCs w:val="0"/>
          <w:color w:val="000000" w:themeColor="text1"/>
          <w:bdr w:val="none" w:sz="0" w:space="0" w:color="auto" w:frame="1"/>
          <w:lang w:val="en-US"/>
        </w:rPr>
        <w:t xml:space="preserve">the </w:t>
      </w:r>
      <w:proofErr w:type="spellStart"/>
      <w:r w:rsidR="00054EA7" w:rsidRPr="00533D7F">
        <w:rPr>
          <w:rFonts w:asciiTheme="minorHAnsi" w:hAnsiTheme="minorHAnsi" w:cstheme="minorHAnsi"/>
          <w:i/>
          <w:iCs/>
          <w:lang w:val="en-US" w:eastAsia="en-US"/>
        </w:rPr>
        <w:t>Güzelyurtlu</w:t>
      </w:r>
      <w:proofErr w:type="spellEnd"/>
      <w:r w:rsidR="00054EA7" w:rsidRPr="00533D7F">
        <w:rPr>
          <w:rFonts w:asciiTheme="minorHAnsi" w:hAnsiTheme="minorHAnsi" w:cstheme="minorHAnsi"/>
          <w:lang w:val="en-US" w:eastAsia="en-US"/>
        </w:rPr>
        <w:t xml:space="preserve"> and </w:t>
      </w:r>
      <w:proofErr w:type="spellStart"/>
      <w:r w:rsidR="00054EA7" w:rsidRPr="00533D7F">
        <w:rPr>
          <w:rFonts w:asciiTheme="minorHAnsi" w:hAnsiTheme="minorHAnsi" w:cstheme="minorHAnsi"/>
          <w:i/>
          <w:iCs/>
          <w:lang w:val="en-US"/>
        </w:rPr>
        <w:t>Castaño</w:t>
      </w:r>
      <w:proofErr w:type="spellEnd"/>
      <w:r w:rsidR="00244770">
        <w:rPr>
          <w:rFonts w:asciiTheme="minorHAnsi" w:hAnsiTheme="minorHAnsi" w:cstheme="minorHAnsi"/>
          <w:lang w:val="en-US"/>
        </w:rPr>
        <w:t xml:space="preserve"> cases</w:t>
      </w:r>
      <w:r w:rsidR="00054EA7">
        <w:rPr>
          <w:rFonts w:asciiTheme="minorHAnsi" w:hAnsiTheme="minorHAnsi" w:cstheme="minorHAnsi"/>
          <w:lang w:val="en-US"/>
        </w:rPr>
        <w:t xml:space="preserve">, the ECtHR </w:t>
      </w:r>
      <w:r w:rsidR="00564954">
        <w:rPr>
          <w:rFonts w:asciiTheme="minorHAnsi" w:hAnsiTheme="minorHAnsi" w:cstheme="minorHAnsi"/>
          <w:lang w:val="en-US"/>
        </w:rPr>
        <w:t xml:space="preserve">also </w:t>
      </w:r>
      <w:r w:rsidR="00054EA7">
        <w:rPr>
          <w:rFonts w:asciiTheme="minorHAnsi" w:hAnsiTheme="minorHAnsi" w:cstheme="minorHAnsi"/>
          <w:lang w:val="en-US"/>
        </w:rPr>
        <w:t>met the CJEU half</w:t>
      </w:r>
      <w:r w:rsidR="00AD7884">
        <w:rPr>
          <w:rFonts w:asciiTheme="minorHAnsi" w:hAnsiTheme="minorHAnsi" w:cstheme="minorHAnsi"/>
          <w:lang w:val="en-US"/>
        </w:rPr>
        <w:t>-</w:t>
      </w:r>
      <w:r w:rsidR="00054EA7">
        <w:rPr>
          <w:rFonts w:asciiTheme="minorHAnsi" w:hAnsiTheme="minorHAnsi" w:cstheme="minorHAnsi"/>
          <w:lang w:val="en-US"/>
        </w:rPr>
        <w:t>way</w:t>
      </w:r>
      <w:r w:rsidR="00C17991">
        <w:rPr>
          <w:rFonts w:asciiTheme="minorHAnsi" w:hAnsiTheme="minorHAnsi" w:cstheme="minorHAnsi"/>
          <w:lang w:val="en-US"/>
        </w:rPr>
        <w:t xml:space="preserve"> and sought to ensure consistency across the two jurisdictions.</w:t>
      </w:r>
      <w:r w:rsidR="00CA1B22">
        <w:rPr>
          <w:rFonts w:asciiTheme="minorHAnsi" w:hAnsiTheme="minorHAnsi" w:cstheme="minorHAnsi"/>
          <w:lang w:val="en-US"/>
        </w:rPr>
        <w:t xml:space="preserve"> </w:t>
      </w:r>
      <w:r w:rsidR="00CA1B22" w:rsidRPr="00CA1B22">
        <w:rPr>
          <w:rStyle w:val="Accentuation"/>
          <w:rFonts w:asciiTheme="minorHAnsi" w:eastAsiaTheme="majorEastAsia" w:hAnsiTheme="minorHAnsi" w:cstheme="minorHAnsi"/>
          <w:i w:val="0"/>
          <w:iCs w:val="0"/>
          <w:color w:val="000000" w:themeColor="text1"/>
          <w:bdr w:val="none" w:sz="0" w:space="0" w:color="auto" w:frame="1"/>
          <w:lang w:val="en-US"/>
        </w:rPr>
        <w:t xml:space="preserve">The ECtHR judges in </w:t>
      </w:r>
      <w:proofErr w:type="spellStart"/>
      <w:r w:rsidR="00CA1B22" w:rsidRPr="00CA1B22">
        <w:rPr>
          <w:rFonts w:asciiTheme="minorHAnsi" w:hAnsiTheme="minorHAnsi" w:cstheme="minorHAnsi"/>
          <w:i/>
          <w:iCs/>
          <w:lang w:val="en-US"/>
        </w:rPr>
        <w:t>Castaño</w:t>
      </w:r>
      <w:proofErr w:type="spellEnd"/>
      <w:r w:rsidR="00CA1B22" w:rsidRPr="00CA1B22">
        <w:rPr>
          <w:rFonts w:asciiTheme="minorHAnsi" w:hAnsiTheme="minorHAnsi" w:cstheme="minorHAnsi"/>
          <w:i/>
          <w:iCs/>
          <w:lang w:val="en-US"/>
        </w:rPr>
        <w:t xml:space="preserve"> </w:t>
      </w:r>
      <w:r w:rsidR="00CA1B22" w:rsidRPr="00CA1B22">
        <w:rPr>
          <w:rStyle w:val="Accentuation"/>
          <w:rFonts w:asciiTheme="minorHAnsi" w:eastAsiaTheme="majorEastAsia" w:hAnsiTheme="minorHAnsi" w:cstheme="minorHAnsi"/>
          <w:i w:val="0"/>
          <w:iCs w:val="0"/>
          <w:color w:val="000000" w:themeColor="text1"/>
          <w:bdr w:val="none" w:sz="0" w:space="0" w:color="auto" w:frame="1"/>
          <w:lang w:val="en-US"/>
        </w:rPr>
        <w:t>were indeed concerned with the symmetry between the two legal systems.</w:t>
      </w:r>
      <w:r w:rsidR="00CA1B22" w:rsidRPr="00CA1B22">
        <w:rPr>
          <w:rStyle w:val="Appelnotedebasdep"/>
          <w:rFonts w:asciiTheme="minorHAnsi" w:eastAsiaTheme="majorEastAsia" w:hAnsiTheme="minorHAnsi" w:cstheme="minorHAnsi"/>
          <w:color w:val="000000" w:themeColor="text1"/>
          <w:bdr w:val="none" w:sz="0" w:space="0" w:color="auto" w:frame="1"/>
          <w:lang w:val="en-US"/>
        </w:rPr>
        <w:footnoteReference w:id="83"/>
      </w:r>
      <w:r w:rsidR="00CA1B22" w:rsidRPr="00CA1B22">
        <w:rPr>
          <w:rStyle w:val="Accentuation"/>
          <w:rFonts w:asciiTheme="minorHAnsi" w:eastAsiaTheme="majorEastAsia" w:hAnsiTheme="minorHAnsi" w:cstheme="minorHAnsi"/>
          <w:i w:val="0"/>
          <w:iCs w:val="0"/>
          <w:color w:val="000000" w:themeColor="text1"/>
          <w:bdr w:val="none" w:sz="0" w:space="0" w:color="auto" w:frame="1"/>
          <w:lang w:val="en-US"/>
        </w:rPr>
        <w:t xml:space="preserve"> As Judge Pavli outlines in his concurring opinion to the ECtHR’s ruling in </w:t>
      </w:r>
      <w:proofErr w:type="spellStart"/>
      <w:r w:rsidR="00CA1B22" w:rsidRPr="00CA1B22">
        <w:rPr>
          <w:rFonts w:asciiTheme="minorHAnsi" w:hAnsiTheme="minorHAnsi" w:cstheme="minorHAnsi"/>
          <w:i/>
          <w:iCs/>
          <w:lang w:val="en-US"/>
        </w:rPr>
        <w:t>Castaño</w:t>
      </w:r>
      <w:proofErr w:type="spellEnd"/>
      <w:r w:rsidR="00CA1B22" w:rsidRPr="00CA1B22">
        <w:rPr>
          <w:rStyle w:val="Accentuation"/>
          <w:rFonts w:asciiTheme="minorHAnsi" w:eastAsiaTheme="majorEastAsia" w:hAnsiTheme="minorHAnsi" w:cstheme="minorHAnsi"/>
          <w:i w:val="0"/>
          <w:iCs w:val="0"/>
          <w:color w:val="000000" w:themeColor="text1"/>
          <w:bdr w:val="none" w:sz="0" w:space="0" w:color="auto" w:frame="1"/>
          <w:lang w:val="en-US"/>
        </w:rPr>
        <w:t>, “</w:t>
      </w:r>
      <w:r w:rsidR="00CA1B22" w:rsidRPr="00CA1B22">
        <w:rPr>
          <w:rFonts w:asciiTheme="minorHAnsi" w:eastAsiaTheme="minorHAnsi" w:hAnsiTheme="minorHAnsi" w:cstheme="minorHAnsi"/>
          <w:lang w:val="en-US" w:eastAsia="en-US"/>
        </w:rPr>
        <w:t>the European Convention on Human Rights does not live in isolation within its regional context of application</w:t>
      </w:r>
      <w:r w:rsidR="00CA1B22" w:rsidRPr="00CA1B22">
        <w:rPr>
          <w:rStyle w:val="Accentuation"/>
          <w:rFonts w:asciiTheme="minorHAnsi" w:eastAsiaTheme="majorEastAsia" w:hAnsiTheme="minorHAnsi" w:cstheme="minorHAnsi"/>
          <w:i w:val="0"/>
          <w:iCs w:val="0"/>
          <w:color w:val="000000" w:themeColor="text1"/>
          <w:bdr w:val="none" w:sz="0" w:space="0" w:color="auto" w:frame="1"/>
          <w:lang w:val="en-US"/>
        </w:rPr>
        <w:t>”.</w:t>
      </w:r>
      <w:r w:rsidR="00CA1B22" w:rsidRPr="00CA1B22">
        <w:rPr>
          <w:rStyle w:val="Appelnotedebasdep"/>
          <w:rFonts w:asciiTheme="minorHAnsi" w:eastAsiaTheme="majorEastAsia" w:hAnsiTheme="minorHAnsi" w:cstheme="minorHAnsi"/>
          <w:color w:val="000000" w:themeColor="text1"/>
          <w:bdr w:val="none" w:sz="0" w:space="0" w:color="auto" w:frame="1"/>
          <w:lang w:val="en-US"/>
        </w:rPr>
        <w:footnoteReference w:id="84"/>
      </w:r>
      <w:r w:rsidR="00CA1B22" w:rsidRPr="00CA1B22">
        <w:rPr>
          <w:rStyle w:val="Accentuation"/>
          <w:rFonts w:asciiTheme="minorHAnsi" w:eastAsiaTheme="majorEastAsia" w:hAnsiTheme="minorHAnsi" w:cstheme="minorHAnsi"/>
          <w:i w:val="0"/>
          <w:iCs w:val="0"/>
          <w:color w:val="000000" w:themeColor="text1"/>
          <w:bdr w:val="none" w:sz="0" w:space="0" w:color="auto" w:frame="1"/>
          <w:lang w:val="en-US"/>
        </w:rPr>
        <w:t xml:space="preserve"> He further explains that “</w:t>
      </w:r>
      <w:r w:rsidR="00CA1B22" w:rsidRPr="00CA1B22">
        <w:rPr>
          <w:rFonts w:asciiTheme="minorHAnsi" w:eastAsiaTheme="minorHAnsi" w:hAnsiTheme="minorHAnsi" w:cstheme="minorHAnsi"/>
          <w:lang w:val="en-US" w:eastAsia="en-US"/>
        </w:rPr>
        <w:t xml:space="preserve">the </w:t>
      </w:r>
      <w:r w:rsidR="00B8636B">
        <w:rPr>
          <w:rFonts w:asciiTheme="minorHAnsi" w:eastAsiaTheme="minorHAnsi" w:hAnsiTheme="minorHAnsi" w:cstheme="minorHAnsi"/>
          <w:lang w:val="en-US" w:eastAsia="en-US"/>
        </w:rPr>
        <w:t>‘</w:t>
      </w:r>
      <w:r w:rsidR="00CA1B22" w:rsidRPr="00CA1B22">
        <w:rPr>
          <w:rFonts w:asciiTheme="minorHAnsi" w:eastAsiaTheme="minorHAnsi" w:hAnsiTheme="minorHAnsi" w:cstheme="minorHAnsi"/>
          <w:lang w:val="en-US" w:eastAsia="en-US"/>
        </w:rPr>
        <w:t>challenge of symmetry</w:t>
      </w:r>
      <w:r w:rsidR="00B8636B">
        <w:rPr>
          <w:rFonts w:asciiTheme="minorHAnsi" w:eastAsiaTheme="minorHAnsi" w:hAnsiTheme="minorHAnsi" w:cstheme="minorHAnsi"/>
          <w:lang w:val="en-US" w:eastAsia="en-US"/>
        </w:rPr>
        <w:t>’</w:t>
      </w:r>
      <w:r w:rsidR="00CA1B22" w:rsidRPr="00CA1B22">
        <w:rPr>
          <w:rFonts w:asciiTheme="minorHAnsi" w:eastAsiaTheme="minorHAnsi" w:hAnsiTheme="minorHAnsi" w:cstheme="minorHAnsi"/>
          <w:lang w:val="en-US" w:eastAsia="en-US"/>
        </w:rPr>
        <w:t xml:space="preserve"> between Convention law and European Union law is an ongoing enterprise which requires carefully crafted interpretative solutions so as to retain, as far as possible, the principled character and integrity of the former without upsetting the delicate institutional balance and fundamental elements inherent in the latter</w:t>
      </w:r>
      <w:r w:rsidR="00CA1B22" w:rsidRPr="00CA1B22">
        <w:rPr>
          <w:rStyle w:val="Accentuation"/>
          <w:rFonts w:asciiTheme="minorHAnsi" w:eastAsiaTheme="majorEastAsia" w:hAnsiTheme="minorHAnsi" w:cstheme="minorHAnsi"/>
          <w:i w:val="0"/>
          <w:iCs w:val="0"/>
          <w:color w:val="000000" w:themeColor="text1"/>
          <w:bdr w:val="none" w:sz="0" w:space="0" w:color="auto" w:frame="1"/>
          <w:lang w:val="en-US"/>
        </w:rPr>
        <w:t>”.</w:t>
      </w:r>
      <w:r w:rsidR="00CA1B22" w:rsidRPr="00CA1B22">
        <w:rPr>
          <w:rStyle w:val="Appelnotedebasdep"/>
          <w:rFonts w:asciiTheme="minorHAnsi" w:eastAsiaTheme="majorEastAsia" w:hAnsiTheme="minorHAnsi" w:cstheme="minorHAnsi"/>
          <w:color w:val="000000" w:themeColor="text1"/>
          <w:bdr w:val="none" w:sz="0" w:space="0" w:color="auto" w:frame="1"/>
          <w:lang w:val="en-US"/>
        </w:rPr>
        <w:footnoteReference w:id="85"/>
      </w:r>
      <w:r w:rsidR="00CA1B22" w:rsidRPr="00CA1B22">
        <w:rPr>
          <w:rStyle w:val="Accentuation"/>
          <w:rFonts w:asciiTheme="minorHAnsi" w:eastAsiaTheme="majorEastAsia" w:hAnsiTheme="minorHAnsi" w:cstheme="minorHAnsi"/>
          <w:i w:val="0"/>
          <w:iCs w:val="0"/>
          <w:color w:val="000000" w:themeColor="text1"/>
          <w:bdr w:val="none" w:sz="0" w:space="0" w:color="auto" w:frame="1"/>
          <w:lang w:val="en-US"/>
        </w:rPr>
        <w:t xml:space="preserve"> </w:t>
      </w:r>
    </w:p>
    <w:p w14:paraId="04D53513" w14:textId="77777777" w:rsidR="00E114FF" w:rsidRPr="00CA1B22" w:rsidRDefault="00E114FF" w:rsidP="00CA1B22">
      <w:pPr>
        <w:autoSpaceDE w:val="0"/>
        <w:autoSpaceDN w:val="0"/>
        <w:adjustRightInd w:val="0"/>
        <w:jc w:val="both"/>
        <w:rPr>
          <w:rStyle w:val="Accentuation"/>
          <w:rFonts w:asciiTheme="minorHAnsi" w:eastAsiaTheme="majorEastAsia" w:hAnsiTheme="minorHAnsi" w:cstheme="minorHAnsi"/>
          <w:i w:val="0"/>
          <w:iCs w:val="0"/>
          <w:color w:val="000000" w:themeColor="text1"/>
          <w:bdr w:val="none" w:sz="0" w:space="0" w:color="auto" w:frame="1"/>
          <w:lang w:val="en-US"/>
        </w:rPr>
      </w:pPr>
    </w:p>
    <w:p w14:paraId="5A60D575" w14:textId="7A115597" w:rsidR="00CA1B22" w:rsidRDefault="00CA1B22" w:rsidP="00CA1B22">
      <w:pPr>
        <w:jc w:val="both"/>
        <w:rPr>
          <w:rFonts w:asciiTheme="minorHAnsi" w:hAnsiTheme="minorHAnsi" w:cstheme="minorHAnsi"/>
          <w:color w:val="000000" w:themeColor="text1"/>
          <w:lang w:val="en-GB"/>
        </w:rPr>
      </w:pPr>
      <w:r w:rsidRPr="00CA1B22">
        <w:rPr>
          <w:rFonts w:asciiTheme="minorHAnsi" w:hAnsiTheme="minorHAnsi" w:cstheme="minorHAnsi"/>
          <w:color w:val="000000" w:themeColor="text1"/>
          <w:lang w:val="en-GB"/>
        </w:rPr>
        <w:t xml:space="preserve">Accordingly, </w:t>
      </w:r>
      <w:r w:rsidR="00782D23">
        <w:rPr>
          <w:rFonts w:asciiTheme="minorHAnsi" w:hAnsiTheme="minorHAnsi" w:cstheme="minorHAnsi"/>
          <w:color w:val="000000" w:themeColor="text1"/>
          <w:lang w:val="en-GB"/>
        </w:rPr>
        <w:t xml:space="preserve">the </w:t>
      </w:r>
      <w:r w:rsidR="0079145C">
        <w:rPr>
          <w:rFonts w:asciiTheme="minorHAnsi" w:hAnsiTheme="minorHAnsi" w:cstheme="minorHAnsi"/>
          <w:color w:val="000000" w:themeColor="text1"/>
          <w:lang w:val="en-GB"/>
        </w:rPr>
        <w:t>ECtHR</w:t>
      </w:r>
      <w:r w:rsidRPr="00CA1B22">
        <w:rPr>
          <w:rFonts w:asciiTheme="minorHAnsi" w:hAnsiTheme="minorHAnsi" w:cstheme="minorHAnsi"/>
          <w:color w:val="000000" w:themeColor="text1"/>
          <w:lang w:val="en-GB"/>
        </w:rPr>
        <w:t xml:space="preserve"> took a similar </w:t>
      </w:r>
      <w:r w:rsidR="00407476" w:rsidRPr="00CA1B22">
        <w:rPr>
          <w:rFonts w:asciiTheme="minorHAnsi" w:hAnsiTheme="minorHAnsi" w:cstheme="minorHAnsi"/>
          <w:color w:val="000000" w:themeColor="text1"/>
          <w:lang w:val="en-GB"/>
        </w:rPr>
        <w:t>path</w:t>
      </w:r>
      <w:r w:rsidR="00407476">
        <w:rPr>
          <w:rFonts w:asciiTheme="minorHAnsi" w:hAnsiTheme="minorHAnsi" w:cstheme="minorHAnsi"/>
          <w:color w:val="000000" w:themeColor="text1"/>
          <w:lang w:val="en-GB"/>
        </w:rPr>
        <w:t xml:space="preserve"> to the one of the CJEU </w:t>
      </w:r>
      <w:r w:rsidRPr="00CA1B22">
        <w:rPr>
          <w:rFonts w:asciiTheme="minorHAnsi" w:hAnsiTheme="minorHAnsi" w:cstheme="minorHAnsi"/>
          <w:color w:val="000000" w:themeColor="text1"/>
          <w:lang w:val="en-GB"/>
        </w:rPr>
        <w:t xml:space="preserve">by establishing rather stringent standards as to when it can be considered that human rights are endangered with regard to the application of a European arrest warrant. </w:t>
      </w:r>
      <w:r w:rsidRPr="00CA1B22">
        <w:rPr>
          <w:rFonts w:asciiTheme="minorHAnsi" w:hAnsiTheme="minorHAnsi" w:cstheme="minorHAnsi"/>
          <w:lang w:val="en-US"/>
        </w:rPr>
        <w:t xml:space="preserve">Mirroring the approach of the CJEU in </w:t>
      </w:r>
      <w:proofErr w:type="spellStart"/>
      <w:r w:rsidRPr="00D54D8D">
        <w:rPr>
          <w:rFonts w:asciiTheme="minorHAnsi" w:hAnsiTheme="minorHAnsi"/>
          <w:i/>
          <w:lang w:val="en-US"/>
        </w:rPr>
        <w:t>Aranyosi</w:t>
      </w:r>
      <w:proofErr w:type="spellEnd"/>
      <w:r w:rsidRPr="00CA1B22">
        <w:rPr>
          <w:rFonts w:asciiTheme="minorHAnsi" w:hAnsiTheme="minorHAnsi" w:cstheme="minorHAnsi"/>
          <w:lang w:val="en-US"/>
        </w:rPr>
        <w:t>, the Court fashioned a two-step test to determine when a refusal to extradite is compatible with the ECHR</w:t>
      </w:r>
      <w:r w:rsidRPr="007755E0">
        <w:rPr>
          <w:rFonts w:asciiTheme="minorHAnsi" w:hAnsiTheme="minorHAnsi" w:cstheme="minorHAnsi"/>
          <w:lang w:val="en-US"/>
        </w:rPr>
        <w:t xml:space="preserve">. It first examined whether the extradition request </w:t>
      </w:r>
      <w:r w:rsidRPr="00653EEE">
        <w:rPr>
          <w:rFonts w:asciiTheme="minorHAnsi" w:hAnsiTheme="minorHAnsi" w:cstheme="minorHAnsi"/>
          <w:lang w:val="en-US"/>
        </w:rPr>
        <w:t>granted a proper response. It then assessed if the refusal to cooperate was based on legitimate grounds.</w:t>
      </w:r>
      <w:r w:rsidRPr="00CA1B22">
        <w:rPr>
          <w:rStyle w:val="Appelnotedebasdep"/>
          <w:rFonts w:asciiTheme="minorHAnsi" w:hAnsiTheme="minorHAnsi" w:cstheme="minorHAnsi"/>
          <w:lang w:val="en-US"/>
        </w:rPr>
        <w:footnoteReference w:id="86"/>
      </w:r>
      <w:r w:rsidRPr="00CA1B22">
        <w:rPr>
          <w:rStyle w:val="Accentuation"/>
          <w:rFonts w:asciiTheme="minorHAnsi" w:eastAsiaTheme="majorEastAsia" w:hAnsiTheme="minorHAnsi" w:cstheme="minorHAnsi"/>
          <w:i w:val="0"/>
          <w:iCs w:val="0"/>
          <w:color w:val="000000" w:themeColor="text1"/>
          <w:bdr w:val="none" w:sz="0" w:space="0" w:color="auto" w:frame="1"/>
          <w:lang w:val="en-US"/>
        </w:rPr>
        <w:t xml:space="preserve"> </w:t>
      </w:r>
      <w:r w:rsidRPr="00CA1B22">
        <w:rPr>
          <w:rFonts w:asciiTheme="minorHAnsi" w:hAnsiTheme="minorHAnsi" w:cstheme="minorHAnsi"/>
          <w:color w:val="000000" w:themeColor="text1"/>
          <w:lang w:val="en-GB"/>
        </w:rPr>
        <w:t xml:space="preserve">Doing so, it subordinated the application </w:t>
      </w:r>
      <w:r w:rsidR="002B5226">
        <w:rPr>
          <w:rFonts w:asciiTheme="minorHAnsi" w:hAnsiTheme="minorHAnsi" w:cstheme="minorHAnsi"/>
          <w:color w:val="000000" w:themeColor="text1"/>
          <w:lang w:val="en-GB"/>
        </w:rPr>
        <w:t xml:space="preserve">of </w:t>
      </w:r>
      <w:r w:rsidRPr="00CA1B22">
        <w:rPr>
          <w:rFonts w:asciiTheme="minorHAnsi" w:hAnsiTheme="minorHAnsi" w:cstheme="minorHAnsi"/>
          <w:color w:val="000000" w:themeColor="text1"/>
          <w:lang w:val="en-GB"/>
        </w:rPr>
        <w:t>European arrest warrants to the respect of human rights. The ruling, however, does not risk having a particularly high impact in practice</w:t>
      </w:r>
      <w:r w:rsidR="002B5226">
        <w:rPr>
          <w:rFonts w:asciiTheme="minorHAnsi" w:hAnsiTheme="minorHAnsi" w:cstheme="minorHAnsi"/>
          <w:color w:val="000000" w:themeColor="text1"/>
          <w:lang w:val="en-GB"/>
        </w:rPr>
        <w:t>,</w:t>
      </w:r>
      <w:r w:rsidRPr="00CA1B22">
        <w:rPr>
          <w:rFonts w:asciiTheme="minorHAnsi" w:hAnsiTheme="minorHAnsi" w:cstheme="minorHAnsi"/>
          <w:color w:val="000000" w:themeColor="text1"/>
          <w:lang w:val="en-GB"/>
        </w:rPr>
        <w:t xml:space="preserve"> as the threshold </w:t>
      </w:r>
      <w:r w:rsidR="002B5226">
        <w:rPr>
          <w:rFonts w:asciiTheme="minorHAnsi" w:hAnsiTheme="minorHAnsi" w:cstheme="minorHAnsi"/>
          <w:color w:val="000000" w:themeColor="text1"/>
          <w:lang w:val="en-GB"/>
        </w:rPr>
        <w:t>is set very high for</w:t>
      </w:r>
      <w:r w:rsidR="00275D79">
        <w:rPr>
          <w:rFonts w:asciiTheme="minorHAnsi" w:hAnsiTheme="minorHAnsi" w:cstheme="minorHAnsi"/>
          <w:color w:val="000000" w:themeColor="text1"/>
          <w:lang w:val="en-GB"/>
        </w:rPr>
        <w:t xml:space="preserve"> </w:t>
      </w:r>
      <w:r w:rsidRPr="00CA1B22">
        <w:rPr>
          <w:rFonts w:asciiTheme="minorHAnsi" w:hAnsiTheme="minorHAnsi" w:cstheme="minorHAnsi"/>
          <w:color w:val="000000" w:themeColor="text1"/>
          <w:lang w:val="en-GB"/>
        </w:rPr>
        <w:t xml:space="preserve">when European </w:t>
      </w:r>
      <w:r w:rsidR="00B81AFF">
        <w:rPr>
          <w:rFonts w:asciiTheme="minorHAnsi" w:hAnsiTheme="minorHAnsi" w:cstheme="minorHAnsi"/>
          <w:color w:val="000000" w:themeColor="text1"/>
          <w:lang w:val="en-GB"/>
        </w:rPr>
        <w:t>a</w:t>
      </w:r>
      <w:r w:rsidRPr="00CA1B22">
        <w:rPr>
          <w:rFonts w:asciiTheme="minorHAnsi" w:hAnsiTheme="minorHAnsi" w:cstheme="minorHAnsi"/>
          <w:color w:val="000000" w:themeColor="text1"/>
          <w:lang w:val="en-GB"/>
        </w:rPr>
        <w:t xml:space="preserve">rrest </w:t>
      </w:r>
      <w:r w:rsidR="00B81AFF">
        <w:rPr>
          <w:rFonts w:asciiTheme="minorHAnsi" w:hAnsiTheme="minorHAnsi" w:cstheme="minorHAnsi"/>
          <w:color w:val="000000" w:themeColor="text1"/>
          <w:lang w:val="en-GB"/>
        </w:rPr>
        <w:t>w</w:t>
      </w:r>
      <w:r w:rsidRPr="00CA1B22">
        <w:rPr>
          <w:rFonts w:asciiTheme="minorHAnsi" w:hAnsiTheme="minorHAnsi" w:cstheme="minorHAnsi"/>
          <w:color w:val="000000" w:themeColor="text1"/>
          <w:lang w:val="en-GB"/>
        </w:rPr>
        <w:t>arrant requests can be refused on human rights grounds.</w:t>
      </w:r>
    </w:p>
    <w:p w14:paraId="7C2614F1" w14:textId="77777777" w:rsidR="00E114FF" w:rsidRPr="00CA1B22" w:rsidRDefault="00E114FF" w:rsidP="00CA1B22">
      <w:pPr>
        <w:jc w:val="both"/>
        <w:rPr>
          <w:rFonts w:asciiTheme="minorHAnsi" w:hAnsiTheme="minorHAnsi" w:cstheme="minorHAnsi"/>
          <w:lang w:val="en-US"/>
        </w:rPr>
      </w:pPr>
    </w:p>
    <w:p w14:paraId="5E1140DE" w14:textId="35A62CA8" w:rsidR="00334E05" w:rsidRDefault="00564954" w:rsidP="00F938D8">
      <w:pPr>
        <w:jc w:val="both"/>
        <w:rPr>
          <w:rFonts w:asciiTheme="minorHAnsi" w:hAnsiTheme="minorHAnsi" w:cstheme="minorHAnsi"/>
          <w:lang w:val="en-US"/>
        </w:rPr>
      </w:pPr>
      <w:r>
        <w:rPr>
          <w:rStyle w:val="Accentuation"/>
          <w:rFonts w:asciiTheme="minorHAnsi" w:eastAsiaTheme="majorEastAsia" w:hAnsiTheme="minorHAnsi" w:cstheme="minorHAnsi"/>
          <w:i w:val="0"/>
          <w:iCs w:val="0"/>
          <w:color w:val="000000" w:themeColor="text1"/>
          <w:bdr w:val="none" w:sz="0" w:space="0" w:color="auto" w:frame="1"/>
          <w:lang w:val="en-US"/>
        </w:rPr>
        <w:t xml:space="preserve">The paths taken by both Courts thus seem to have </w:t>
      </w:r>
      <w:r w:rsidR="008F716D">
        <w:rPr>
          <w:rStyle w:val="Accentuation"/>
          <w:rFonts w:asciiTheme="minorHAnsi" w:eastAsiaTheme="majorEastAsia" w:hAnsiTheme="minorHAnsi" w:cstheme="minorHAnsi"/>
          <w:i w:val="0"/>
          <w:iCs w:val="0"/>
          <w:color w:val="000000" w:themeColor="text1"/>
          <w:bdr w:val="none" w:sz="0" w:space="0" w:color="auto" w:frame="1"/>
          <w:lang w:val="en-US"/>
        </w:rPr>
        <w:t>eventually</w:t>
      </w:r>
      <w:r>
        <w:rPr>
          <w:rStyle w:val="Accentuation"/>
          <w:rFonts w:asciiTheme="minorHAnsi" w:eastAsiaTheme="majorEastAsia" w:hAnsiTheme="minorHAnsi" w:cstheme="minorHAnsi"/>
          <w:i w:val="0"/>
          <w:iCs w:val="0"/>
          <w:color w:val="000000" w:themeColor="text1"/>
          <w:bdr w:val="none" w:sz="0" w:space="0" w:color="auto" w:frame="1"/>
          <w:lang w:val="en-US"/>
        </w:rPr>
        <w:t xml:space="preserve"> conv</w:t>
      </w:r>
      <w:r w:rsidR="00334E05">
        <w:rPr>
          <w:rStyle w:val="Accentuation"/>
          <w:rFonts w:asciiTheme="minorHAnsi" w:eastAsiaTheme="majorEastAsia" w:hAnsiTheme="minorHAnsi" w:cstheme="minorHAnsi"/>
          <w:i w:val="0"/>
          <w:iCs w:val="0"/>
          <w:color w:val="000000" w:themeColor="text1"/>
          <w:bdr w:val="none" w:sz="0" w:space="0" w:color="auto" w:frame="1"/>
          <w:lang w:val="en-US"/>
        </w:rPr>
        <w:t>e</w:t>
      </w:r>
      <w:r>
        <w:rPr>
          <w:rStyle w:val="Accentuation"/>
          <w:rFonts w:asciiTheme="minorHAnsi" w:eastAsiaTheme="majorEastAsia" w:hAnsiTheme="minorHAnsi" w:cstheme="minorHAnsi"/>
          <w:i w:val="0"/>
          <w:iCs w:val="0"/>
          <w:color w:val="000000" w:themeColor="text1"/>
          <w:bdr w:val="none" w:sz="0" w:space="0" w:color="auto" w:frame="1"/>
          <w:lang w:val="en-US"/>
        </w:rPr>
        <w:t>rged.</w:t>
      </w:r>
      <w:r w:rsidR="00433F70">
        <w:rPr>
          <w:rStyle w:val="Accentuation"/>
          <w:rFonts w:asciiTheme="minorHAnsi" w:eastAsiaTheme="majorEastAsia" w:hAnsiTheme="minorHAnsi" w:cstheme="minorHAnsi"/>
          <w:i w:val="0"/>
          <w:iCs w:val="0"/>
          <w:color w:val="000000" w:themeColor="text1"/>
          <w:bdr w:val="none" w:sz="0" w:space="0" w:color="auto" w:frame="1"/>
          <w:lang w:val="en-US"/>
        </w:rPr>
        <w:t xml:space="preserve"> That is perhaps good news, but</w:t>
      </w:r>
      <w:r w:rsidR="004C7D60">
        <w:rPr>
          <w:rStyle w:val="Accentuation"/>
          <w:rFonts w:asciiTheme="minorHAnsi" w:eastAsiaTheme="majorEastAsia" w:hAnsiTheme="minorHAnsi" w:cstheme="minorHAnsi"/>
          <w:i w:val="0"/>
          <w:iCs w:val="0"/>
          <w:color w:val="000000" w:themeColor="text1"/>
          <w:bdr w:val="none" w:sz="0" w:space="0" w:color="auto" w:frame="1"/>
          <w:lang w:val="en-US"/>
        </w:rPr>
        <w:t xml:space="preserve"> </w:t>
      </w:r>
      <w:r w:rsidR="00433F70">
        <w:rPr>
          <w:rStyle w:val="Accentuation"/>
          <w:rFonts w:asciiTheme="minorHAnsi" w:eastAsiaTheme="majorEastAsia" w:hAnsiTheme="minorHAnsi" w:cstheme="minorHAnsi"/>
          <w:i w:val="0"/>
          <w:iCs w:val="0"/>
          <w:color w:val="000000" w:themeColor="text1"/>
          <w:bdr w:val="none" w:sz="0" w:space="0" w:color="auto" w:frame="1"/>
          <w:lang w:val="en-US"/>
        </w:rPr>
        <w:t>t</w:t>
      </w:r>
      <w:r w:rsidR="007755E0">
        <w:rPr>
          <w:rStyle w:val="Accentuation"/>
          <w:rFonts w:asciiTheme="minorHAnsi" w:eastAsiaTheme="majorEastAsia" w:hAnsiTheme="minorHAnsi" w:cstheme="minorHAnsi"/>
          <w:i w:val="0"/>
          <w:iCs w:val="0"/>
          <w:color w:val="000000" w:themeColor="text1"/>
          <w:bdr w:val="none" w:sz="0" w:space="0" w:color="auto" w:frame="1"/>
          <w:lang w:val="en-US"/>
        </w:rPr>
        <w:t>he ECtHR, however, should be careful</w:t>
      </w:r>
      <w:r w:rsidR="007755E0" w:rsidRPr="004C7D60">
        <w:rPr>
          <w:rStyle w:val="Accentuation"/>
          <w:rFonts w:asciiTheme="minorHAnsi" w:hAnsiTheme="minorHAnsi" w:cstheme="minorHAnsi"/>
          <w:i w:val="0"/>
          <w:iCs w:val="0"/>
          <w:color w:val="000000" w:themeColor="text1"/>
          <w:lang w:val="en-US"/>
        </w:rPr>
        <w:t xml:space="preserve"> </w:t>
      </w:r>
      <w:r w:rsidR="007755E0">
        <w:rPr>
          <w:rStyle w:val="Accentuation"/>
          <w:rFonts w:asciiTheme="minorHAnsi" w:hAnsiTheme="minorHAnsi" w:cstheme="minorHAnsi"/>
          <w:i w:val="0"/>
          <w:iCs w:val="0"/>
          <w:color w:val="000000" w:themeColor="text1"/>
          <w:lang w:val="en-US"/>
        </w:rPr>
        <w:t>not to make too many concessions to the criminal policy ambitions of the EU.</w:t>
      </w:r>
      <w:r w:rsidR="007755E0">
        <w:rPr>
          <w:rStyle w:val="Accentuation"/>
          <w:rFonts w:asciiTheme="minorHAnsi" w:eastAsiaTheme="majorEastAsia" w:hAnsiTheme="minorHAnsi" w:cstheme="minorHAnsi"/>
          <w:i w:val="0"/>
          <w:iCs w:val="0"/>
          <w:color w:val="000000" w:themeColor="text1"/>
          <w:bdr w:val="none" w:sz="0" w:space="0" w:color="auto" w:frame="1"/>
          <w:lang w:val="en-US"/>
        </w:rPr>
        <w:t xml:space="preserve"> Indeed, t</w:t>
      </w:r>
      <w:r w:rsidR="00CA1B22">
        <w:rPr>
          <w:rStyle w:val="Accentuation"/>
          <w:rFonts w:asciiTheme="minorHAnsi" w:eastAsiaTheme="majorEastAsia" w:hAnsiTheme="minorHAnsi" w:cstheme="minorHAnsi"/>
          <w:i w:val="0"/>
          <w:iCs w:val="0"/>
          <w:color w:val="000000" w:themeColor="text1"/>
          <w:bdr w:val="none" w:sz="0" w:space="0" w:color="auto" w:frame="1"/>
          <w:lang w:val="en-US"/>
        </w:rPr>
        <w:t>he question is</w:t>
      </w:r>
      <w:r w:rsidR="007755E0">
        <w:rPr>
          <w:rStyle w:val="Accentuation"/>
          <w:rFonts w:asciiTheme="minorHAnsi" w:eastAsiaTheme="majorEastAsia" w:hAnsiTheme="minorHAnsi" w:cstheme="minorHAnsi"/>
          <w:i w:val="0"/>
          <w:iCs w:val="0"/>
          <w:color w:val="000000" w:themeColor="text1"/>
          <w:bdr w:val="none" w:sz="0" w:space="0" w:color="auto" w:frame="1"/>
          <w:lang w:val="en-US"/>
        </w:rPr>
        <w:t>,</w:t>
      </w:r>
      <w:r w:rsidR="00CA1B22">
        <w:rPr>
          <w:rStyle w:val="Accentuation"/>
          <w:rFonts w:asciiTheme="minorHAnsi" w:eastAsiaTheme="majorEastAsia" w:hAnsiTheme="minorHAnsi" w:cstheme="minorHAnsi"/>
          <w:i w:val="0"/>
          <w:iCs w:val="0"/>
          <w:color w:val="000000" w:themeColor="text1"/>
          <w:bdr w:val="none" w:sz="0" w:space="0" w:color="auto" w:frame="1"/>
          <w:lang w:val="en-US"/>
        </w:rPr>
        <w:t xml:space="preserve"> </w:t>
      </w:r>
      <w:r w:rsidR="007755E0">
        <w:rPr>
          <w:rStyle w:val="Accentuation"/>
          <w:rFonts w:asciiTheme="minorHAnsi" w:eastAsiaTheme="majorEastAsia" w:hAnsiTheme="minorHAnsi" w:cstheme="minorHAnsi"/>
          <w:i w:val="0"/>
          <w:iCs w:val="0"/>
          <w:color w:val="000000" w:themeColor="text1"/>
          <w:bdr w:val="none" w:sz="0" w:space="0" w:color="auto" w:frame="1"/>
          <w:lang w:val="en-US"/>
        </w:rPr>
        <w:t xml:space="preserve">can </w:t>
      </w:r>
      <w:proofErr w:type="spellStart"/>
      <w:r w:rsidR="007755E0" w:rsidRPr="00CF0BE4">
        <w:rPr>
          <w:rFonts w:asciiTheme="minorHAnsi" w:hAnsiTheme="minorHAnsi" w:cstheme="minorHAnsi"/>
          <w:i/>
          <w:iCs/>
          <w:lang w:val="en-US" w:eastAsia="en-US"/>
        </w:rPr>
        <w:t>Güzelyurtlu</w:t>
      </w:r>
      <w:proofErr w:type="spellEnd"/>
      <w:r w:rsidR="007755E0" w:rsidRPr="00CF0BE4">
        <w:rPr>
          <w:rFonts w:asciiTheme="minorHAnsi" w:hAnsiTheme="minorHAnsi" w:cstheme="minorHAnsi"/>
          <w:lang w:val="en-US" w:eastAsia="en-US"/>
        </w:rPr>
        <w:t xml:space="preserve"> and </w:t>
      </w:r>
      <w:proofErr w:type="spellStart"/>
      <w:r w:rsidR="007755E0" w:rsidRPr="00CF0BE4">
        <w:rPr>
          <w:rFonts w:asciiTheme="minorHAnsi" w:hAnsiTheme="minorHAnsi" w:cstheme="minorHAnsi"/>
          <w:i/>
          <w:iCs/>
          <w:lang w:val="en-US"/>
        </w:rPr>
        <w:t>Castaño</w:t>
      </w:r>
      <w:proofErr w:type="spellEnd"/>
      <w:r w:rsidR="007755E0" w:rsidRPr="00CF0BE4">
        <w:rPr>
          <w:rFonts w:asciiTheme="minorHAnsi" w:hAnsiTheme="minorHAnsi" w:cstheme="minorHAnsi"/>
          <w:i/>
          <w:iCs/>
          <w:lang w:val="en-US"/>
        </w:rPr>
        <w:t xml:space="preserve"> </w:t>
      </w:r>
      <w:r w:rsidR="007755E0" w:rsidRPr="00CF0BE4">
        <w:rPr>
          <w:rFonts w:asciiTheme="minorHAnsi" w:hAnsiTheme="minorHAnsi" w:cstheme="minorHAnsi"/>
          <w:lang w:val="en-US"/>
        </w:rPr>
        <w:t xml:space="preserve">be reconciled with the revolutionary </w:t>
      </w:r>
      <w:proofErr w:type="spellStart"/>
      <w:r w:rsidR="007755E0" w:rsidRPr="00433F70">
        <w:rPr>
          <w:rFonts w:asciiTheme="minorHAnsi" w:hAnsiTheme="minorHAnsi" w:cstheme="minorHAnsi"/>
          <w:i/>
          <w:iCs/>
          <w:lang w:val="en-US"/>
        </w:rPr>
        <w:t>Soering</w:t>
      </w:r>
      <w:proofErr w:type="spellEnd"/>
      <w:r w:rsidR="007755E0" w:rsidRPr="00CF0BE4">
        <w:rPr>
          <w:rFonts w:asciiTheme="minorHAnsi" w:hAnsiTheme="minorHAnsi" w:cstheme="minorHAnsi"/>
          <w:lang w:val="en-US"/>
        </w:rPr>
        <w:t xml:space="preserve"> judgement? What do these cases do for the rights of the extradited person? </w:t>
      </w:r>
    </w:p>
    <w:p w14:paraId="559945B0" w14:textId="2A602E0B" w:rsidR="00CA1B22" w:rsidRPr="00653EEE" w:rsidRDefault="00CF0BE4" w:rsidP="00F938D8">
      <w:pPr>
        <w:jc w:val="both"/>
        <w:rPr>
          <w:rStyle w:val="Accentuation"/>
          <w:rFonts w:asciiTheme="minorHAnsi" w:eastAsiaTheme="majorEastAsia" w:hAnsiTheme="minorHAnsi" w:cstheme="minorHAnsi"/>
          <w:i w:val="0"/>
          <w:iCs w:val="0"/>
          <w:color w:val="000000" w:themeColor="text1"/>
          <w:bdr w:val="none" w:sz="0" w:space="0" w:color="auto" w:frame="1"/>
          <w:lang w:val="en-US"/>
        </w:rPr>
      </w:pPr>
      <w:r>
        <w:rPr>
          <w:rFonts w:asciiTheme="minorHAnsi" w:hAnsiTheme="minorHAnsi" w:cstheme="minorHAnsi"/>
          <w:lang w:val="en-US"/>
        </w:rPr>
        <w:t>Make no mistake</w:t>
      </w:r>
      <w:r w:rsidR="00653EEE">
        <w:rPr>
          <w:rFonts w:asciiTheme="minorHAnsi" w:hAnsiTheme="minorHAnsi" w:cstheme="minorHAnsi"/>
          <w:lang w:val="en-US"/>
        </w:rPr>
        <w:t>,</w:t>
      </w:r>
      <w:r>
        <w:rPr>
          <w:rFonts w:asciiTheme="minorHAnsi" w:hAnsiTheme="minorHAnsi" w:cstheme="minorHAnsi"/>
          <w:lang w:val="en-US"/>
        </w:rPr>
        <w:t xml:space="preserve"> </w:t>
      </w:r>
      <w:r w:rsidR="00653EEE">
        <w:rPr>
          <w:rFonts w:asciiTheme="minorHAnsi" w:hAnsiTheme="minorHAnsi" w:cstheme="minorHAnsi"/>
          <w:lang w:val="en-US"/>
        </w:rPr>
        <w:t>t</w:t>
      </w:r>
      <w:r w:rsidR="007755E0" w:rsidRPr="00CF0BE4">
        <w:rPr>
          <w:rFonts w:asciiTheme="minorHAnsi" w:hAnsiTheme="minorHAnsi" w:cstheme="minorHAnsi"/>
          <w:lang w:val="en-US"/>
        </w:rPr>
        <w:t>he Court has not explicitly overruled</w:t>
      </w:r>
      <w:r>
        <w:rPr>
          <w:rFonts w:asciiTheme="minorHAnsi" w:hAnsiTheme="minorHAnsi" w:cstheme="minorHAnsi"/>
          <w:lang w:val="en-US"/>
        </w:rPr>
        <w:t xml:space="preserve"> </w:t>
      </w:r>
      <w:proofErr w:type="spellStart"/>
      <w:r w:rsidRPr="00653EEE">
        <w:rPr>
          <w:rFonts w:asciiTheme="minorHAnsi" w:hAnsiTheme="minorHAnsi" w:cstheme="minorHAnsi"/>
          <w:i/>
          <w:iCs/>
          <w:lang w:val="en-US"/>
        </w:rPr>
        <w:t>Soering</w:t>
      </w:r>
      <w:proofErr w:type="spellEnd"/>
      <w:r w:rsidR="007755E0" w:rsidRPr="00CF0BE4">
        <w:rPr>
          <w:rFonts w:asciiTheme="minorHAnsi" w:hAnsiTheme="minorHAnsi" w:cstheme="minorHAnsi"/>
          <w:lang w:val="en-US"/>
        </w:rPr>
        <w:t xml:space="preserve">. </w:t>
      </w:r>
      <w:proofErr w:type="spellStart"/>
      <w:r w:rsidR="007755E0" w:rsidRPr="00650689">
        <w:rPr>
          <w:rFonts w:asciiTheme="minorHAnsi" w:hAnsiTheme="minorHAnsi"/>
          <w:i/>
          <w:lang w:val="en-US"/>
        </w:rPr>
        <w:t>Casta</w:t>
      </w:r>
      <w:r w:rsidR="007755E0" w:rsidRPr="00B81AFF">
        <w:rPr>
          <w:rFonts w:asciiTheme="minorHAnsi" w:hAnsiTheme="minorHAnsi" w:cstheme="minorHAnsi"/>
          <w:i/>
          <w:iCs/>
          <w:lang w:val="en-US"/>
        </w:rPr>
        <w:t>ño</w:t>
      </w:r>
      <w:proofErr w:type="spellEnd"/>
      <w:r w:rsidR="007755E0" w:rsidRPr="00CF0BE4">
        <w:rPr>
          <w:rFonts w:asciiTheme="minorHAnsi" w:hAnsiTheme="minorHAnsi" w:cstheme="minorHAnsi"/>
          <w:i/>
          <w:iCs/>
          <w:lang w:val="en-US"/>
        </w:rPr>
        <w:t xml:space="preserve"> </w:t>
      </w:r>
      <w:r w:rsidR="007755E0" w:rsidRPr="00CF0BE4">
        <w:rPr>
          <w:rFonts w:asciiTheme="minorHAnsi" w:hAnsiTheme="minorHAnsi" w:cstheme="minorHAnsi"/>
          <w:lang w:val="en-US"/>
        </w:rPr>
        <w:t>in particular reiterate</w:t>
      </w:r>
      <w:r w:rsidR="00653EEE">
        <w:rPr>
          <w:rFonts w:asciiTheme="minorHAnsi" w:hAnsiTheme="minorHAnsi" w:cstheme="minorHAnsi"/>
          <w:lang w:val="en-US"/>
        </w:rPr>
        <w:t>s</w:t>
      </w:r>
      <w:r w:rsidR="007755E0" w:rsidRPr="00CF0BE4">
        <w:rPr>
          <w:rFonts w:asciiTheme="minorHAnsi" w:hAnsiTheme="minorHAnsi" w:cstheme="minorHAnsi"/>
          <w:lang w:val="en-US"/>
        </w:rPr>
        <w:t xml:space="preserve"> the possibility </w:t>
      </w:r>
      <w:r w:rsidR="00291F55">
        <w:rPr>
          <w:rFonts w:asciiTheme="minorHAnsi" w:hAnsiTheme="minorHAnsi" w:cstheme="minorHAnsi"/>
          <w:lang w:val="en-US"/>
        </w:rPr>
        <w:t>of</w:t>
      </w:r>
      <w:r w:rsidR="007755E0" w:rsidRPr="00CF0BE4">
        <w:rPr>
          <w:rFonts w:asciiTheme="minorHAnsi" w:hAnsiTheme="minorHAnsi" w:cstheme="minorHAnsi"/>
          <w:lang w:val="en-US"/>
        </w:rPr>
        <w:t xml:space="preserve"> </w:t>
      </w:r>
      <w:r w:rsidR="00275D79">
        <w:rPr>
          <w:rFonts w:asciiTheme="minorHAnsi" w:hAnsiTheme="minorHAnsi" w:cstheme="minorHAnsi"/>
          <w:lang w:val="en-US"/>
        </w:rPr>
        <w:t>halting</w:t>
      </w:r>
      <w:r w:rsidR="007755E0" w:rsidRPr="00CF0BE4">
        <w:rPr>
          <w:rFonts w:asciiTheme="minorHAnsi" w:hAnsiTheme="minorHAnsi" w:cstheme="minorHAnsi"/>
          <w:lang w:val="en-US"/>
        </w:rPr>
        <w:t xml:space="preserve"> extradition to protect the fundamental rights of the accused</w:t>
      </w:r>
      <w:r>
        <w:rPr>
          <w:rFonts w:asciiTheme="minorHAnsi" w:hAnsiTheme="minorHAnsi" w:cstheme="minorHAnsi"/>
          <w:lang w:val="en-US"/>
        </w:rPr>
        <w:t>. However, firstly, it sets</w:t>
      </w:r>
      <w:r w:rsidR="007755E0" w:rsidRPr="00CF0BE4">
        <w:rPr>
          <w:rFonts w:asciiTheme="minorHAnsi" w:hAnsiTheme="minorHAnsi" w:cstheme="minorHAnsi"/>
          <w:lang w:val="en-US"/>
        </w:rPr>
        <w:t xml:space="preserve"> </w:t>
      </w:r>
      <w:r w:rsidRPr="00CF0BE4">
        <w:rPr>
          <w:rFonts w:asciiTheme="minorHAnsi" w:hAnsiTheme="minorHAnsi" w:cstheme="minorHAnsi"/>
          <w:lang w:val="en-US"/>
        </w:rPr>
        <w:t>a very high threshold for that.</w:t>
      </w:r>
      <w:r>
        <w:rPr>
          <w:rFonts w:asciiTheme="minorHAnsi" w:hAnsiTheme="minorHAnsi" w:cstheme="minorHAnsi"/>
          <w:lang w:val="en-US"/>
        </w:rPr>
        <w:t xml:space="preserve"> And secondly</w:t>
      </w:r>
      <w:r w:rsidR="00AE1D75">
        <w:rPr>
          <w:rFonts w:asciiTheme="minorHAnsi" w:hAnsiTheme="minorHAnsi" w:cstheme="minorHAnsi"/>
          <w:lang w:val="en-US"/>
        </w:rPr>
        <w:t>,</w:t>
      </w:r>
      <w:r>
        <w:rPr>
          <w:rFonts w:asciiTheme="minorHAnsi" w:hAnsiTheme="minorHAnsi" w:cstheme="minorHAnsi"/>
          <w:lang w:val="en-US"/>
        </w:rPr>
        <w:t xml:space="preserve"> more genera</w:t>
      </w:r>
      <w:r w:rsidR="002B5226">
        <w:rPr>
          <w:rFonts w:asciiTheme="minorHAnsi" w:hAnsiTheme="minorHAnsi" w:cstheme="minorHAnsi"/>
          <w:lang w:val="en-US"/>
        </w:rPr>
        <w:t>l</w:t>
      </w:r>
      <w:r>
        <w:rPr>
          <w:rFonts w:asciiTheme="minorHAnsi" w:hAnsiTheme="minorHAnsi" w:cstheme="minorHAnsi"/>
          <w:lang w:val="en-US"/>
        </w:rPr>
        <w:t>ly,</w:t>
      </w:r>
      <w:r w:rsidRPr="00CF0BE4">
        <w:rPr>
          <w:rFonts w:asciiTheme="minorHAnsi" w:hAnsiTheme="minorHAnsi" w:cstheme="minorHAnsi"/>
          <w:lang w:val="en-US"/>
        </w:rPr>
        <w:t xml:space="preserve"> </w:t>
      </w:r>
      <w:proofErr w:type="spellStart"/>
      <w:r w:rsidRPr="00CF0BE4">
        <w:rPr>
          <w:rFonts w:asciiTheme="minorHAnsi" w:hAnsiTheme="minorHAnsi" w:cstheme="minorHAnsi"/>
          <w:i/>
          <w:iCs/>
          <w:lang w:val="en-US" w:eastAsia="en-US"/>
        </w:rPr>
        <w:t>Güzelyurtlu</w:t>
      </w:r>
      <w:proofErr w:type="spellEnd"/>
      <w:r w:rsidRPr="00CF0BE4">
        <w:rPr>
          <w:rFonts w:asciiTheme="minorHAnsi" w:hAnsiTheme="minorHAnsi" w:cstheme="minorHAnsi"/>
          <w:lang w:val="en-US" w:eastAsia="en-US"/>
        </w:rPr>
        <w:t xml:space="preserve"> and </w:t>
      </w:r>
      <w:proofErr w:type="spellStart"/>
      <w:r w:rsidRPr="00CF0BE4">
        <w:rPr>
          <w:rFonts w:asciiTheme="minorHAnsi" w:hAnsiTheme="minorHAnsi" w:cstheme="minorHAnsi"/>
          <w:i/>
          <w:iCs/>
          <w:lang w:val="en-US"/>
        </w:rPr>
        <w:t>Castaño</w:t>
      </w:r>
      <w:proofErr w:type="spellEnd"/>
      <w:r>
        <w:rPr>
          <w:rFonts w:asciiTheme="minorHAnsi" w:hAnsiTheme="minorHAnsi" w:cstheme="minorHAnsi"/>
          <w:i/>
          <w:iCs/>
          <w:lang w:val="en-US"/>
        </w:rPr>
        <w:t xml:space="preserve"> </w:t>
      </w:r>
      <w:r>
        <w:rPr>
          <w:rFonts w:asciiTheme="minorHAnsi" w:hAnsiTheme="minorHAnsi" w:cstheme="minorHAnsi"/>
          <w:lang w:val="en-US"/>
        </w:rPr>
        <w:t>highlight a different</w:t>
      </w:r>
      <w:r w:rsidR="00433F70">
        <w:rPr>
          <w:rFonts w:asciiTheme="minorHAnsi" w:hAnsiTheme="minorHAnsi" w:cstheme="minorHAnsi"/>
          <w:lang w:val="en-US"/>
        </w:rPr>
        <w:t xml:space="preserve"> additional</w:t>
      </w:r>
      <w:r>
        <w:rPr>
          <w:rFonts w:asciiTheme="minorHAnsi" w:hAnsiTheme="minorHAnsi" w:cstheme="minorHAnsi"/>
          <w:lang w:val="en-US"/>
        </w:rPr>
        <w:t xml:space="preserve"> function for human rights, namely that justifying and actually requiring extradition. The priority for the Court seems to have changed, with the emphasis being put on what human rights can </w:t>
      </w:r>
      <w:r w:rsidR="002B5226">
        <w:rPr>
          <w:rFonts w:asciiTheme="minorHAnsi" w:hAnsiTheme="minorHAnsi" w:cstheme="minorHAnsi"/>
          <w:lang w:val="en-US"/>
        </w:rPr>
        <w:t xml:space="preserve">be protected by </w:t>
      </w:r>
      <w:r>
        <w:rPr>
          <w:rFonts w:asciiTheme="minorHAnsi" w:hAnsiTheme="minorHAnsi" w:cstheme="minorHAnsi"/>
          <w:lang w:val="en-US"/>
        </w:rPr>
        <w:t xml:space="preserve">extradition (such as the right to life as at stake in </w:t>
      </w:r>
      <w:proofErr w:type="spellStart"/>
      <w:r w:rsidRPr="00CF0BE4">
        <w:rPr>
          <w:rFonts w:asciiTheme="minorHAnsi" w:hAnsiTheme="minorHAnsi" w:cstheme="minorHAnsi"/>
          <w:i/>
          <w:iCs/>
          <w:lang w:val="en-US" w:eastAsia="en-US"/>
        </w:rPr>
        <w:t>Güzelyurtlu</w:t>
      </w:r>
      <w:proofErr w:type="spellEnd"/>
      <w:r w:rsidRPr="00CF0BE4">
        <w:rPr>
          <w:rFonts w:asciiTheme="minorHAnsi" w:hAnsiTheme="minorHAnsi" w:cstheme="minorHAnsi"/>
          <w:lang w:val="en-US" w:eastAsia="en-US"/>
        </w:rPr>
        <w:t xml:space="preserve"> and </w:t>
      </w:r>
      <w:proofErr w:type="spellStart"/>
      <w:r w:rsidRPr="00CF0BE4">
        <w:rPr>
          <w:rFonts w:asciiTheme="minorHAnsi" w:hAnsiTheme="minorHAnsi" w:cstheme="minorHAnsi"/>
          <w:i/>
          <w:iCs/>
          <w:lang w:val="en-US"/>
        </w:rPr>
        <w:t>Castaño</w:t>
      </w:r>
      <w:proofErr w:type="spellEnd"/>
      <w:r>
        <w:rPr>
          <w:rFonts w:asciiTheme="minorHAnsi" w:hAnsiTheme="minorHAnsi" w:cstheme="minorHAnsi"/>
          <w:lang w:val="en-US"/>
        </w:rPr>
        <w:t>)</w:t>
      </w:r>
      <w:r w:rsidR="00433F70">
        <w:rPr>
          <w:rFonts w:asciiTheme="minorHAnsi" w:hAnsiTheme="minorHAnsi" w:cstheme="minorHAnsi"/>
          <w:lang w:val="en-US"/>
        </w:rPr>
        <w:t>, rather than on</w:t>
      </w:r>
      <w:r>
        <w:rPr>
          <w:rFonts w:asciiTheme="minorHAnsi" w:hAnsiTheme="minorHAnsi" w:cstheme="minorHAnsi"/>
          <w:lang w:val="en-US"/>
        </w:rPr>
        <w:t xml:space="preserve"> what human rights can extradition affect (such as fair trial rights</w:t>
      </w:r>
      <w:r w:rsidR="002B5226">
        <w:rPr>
          <w:rFonts w:asciiTheme="minorHAnsi" w:hAnsiTheme="minorHAnsi" w:cstheme="minorHAnsi"/>
          <w:lang w:val="en-US"/>
        </w:rPr>
        <w:t>,</w:t>
      </w:r>
      <w:r>
        <w:rPr>
          <w:rFonts w:asciiTheme="minorHAnsi" w:hAnsiTheme="minorHAnsi" w:cstheme="minorHAnsi"/>
          <w:lang w:val="en-US"/>
        </w:rPr>
        <w:t xml:space="preserve"> but also the right not to be subject to inhuman and degrading treatment like in </w:t>
      </w:r>
      <w:proofErr w:type="spellStart"/>
      <w:r w:rsidRPr="00653EEE">
        <w:rPr>
          <w:rFonts w:asciiTheme="minorHAnsi" w:hAnsiTheme="minorHAnsi" w:cstheme="minorHAnsi"/>
          <w:i/>
          <w:iCs/>
          <w:lang w:val="en-US"/>
        </w:rPr>
        <w:t>Soering</w:t>
      </w:r>
      <w:proofErr w:type="spellEnd"/>
      <w:r>
        <w:rPr>
          <w:rFonts w:asciiTheme="minorHAnsi" w:hAnsiTheme="minorHAnsi" w:cstheme="minorHAnsi"/>
          <w:lang w:val="en-US"/>
        </w:rPr>
        <w:t>).</w:t>
      </w:r>
      <w:r w:rsidR="00653EEE">
        <w:rPr>
          <w:rFonts w:asciiTheme="minorHAnsi" w:hAnsiTheme="minorHAnsi" w:cstheme="minorHAnsi"/>
          <w:lang w:val="en-US"/>
        </w:rPr>
        <w:t xml:space="preserve"> One could therefore argue that </w:t>
      </w:r>
      <w:proofErr w:type="spellStart"/>
      <w:r w:rsidR="00653EEE" w:rsidRPr="00CF0BE4">
        <w:rPr>
          <w:rFonts w:asciiTheme="minorHAnsi" w:hAnsiTheme="minorHAnsi" w:cstheme="minorHAnsi"/>
          <w:i/>
          <w:iCs/>
          <w:lang w:val="en-US" w:eastAsia="en-US"/>
        </w:rPr>
        <w:t>Güzelyurtlu</w:t>
      </w:r>
      <w:proofErr w:type="spellEnd"/>
      <w:r w:rsidR="00653EEE" w:rsidRPr="00CF0BE4">
        <w:rPr>
          <w:rFonts w:asciiTheme="minorHAnsi" w:hAnsiTheme="minorHAnsi" w:cstheme="minorHAnsi"/>
          <w:lang w:val="en-US" w:eastAsia="en-US"/>
        </w:rPr>
        <w:t xml:space="preserve"> and </w:t>
      </w:r>
      <w:proofErr w:type="spellStart"/>
      <w:r w:rsidR="00653EEE" w:rsidRPr="00CF0BE4">
        <w:rPr>
          <w:rFonts w:asciiTheme="minorHAnsi" w:hAnsiTheme="minorHAnsi" w:cstheme="minorHAnsi"/>
          <w:i/>
          <w:iCs/>
          <w:lang w:val="en-US"/>
        </w:rPr>
        <w:t>Castaño</w:t>
      </w:r>
      <w:proofErr w:type="spellEnd"/>
      <w:r w:rsidR="00653EEE">
        <w:rPr>
          <w:rFonts w:asciiTheme="minorHAnsi" w:hAnsiTheme="minorHAnsi" w:cstheme="minorHAnsi"/>
          <w:i/>
          <w:iCs/>
          <w:lang w:val="en-US"/>
        </w:rPr>
        <w:t xml:space="preserve"> </w:t>
      </w:r>
      <w:r w:rsidR="00653EEE">
        <w:rPr>
          <w:rFonts w:asciiTheme="minorHAnsi" w:hAnsiTheme="minorHAnsi" w:cstheme="minorHAnsi"/>
          <w:lang w:val="en-US"/>
        </w:rPr>
        <w:t xml:space="preserve">have eroded the spirit of </w:t>
      </w:r>
      <w:proofErr w:type="spellStart"/>
      <w:r w:rsidR="00653EEE" w:rsidRPr="00653EEE">
        <w:rPr>
          <w:rFonts w:asciiTheme="minorHAnsi" w:hAnsiTheme="minorHAnsi" w:cstheme="minorHAnsi"/>
          <w:i/>
          <w:iCs/>
          <w:lang w:val="en-US"/>
        </w:rPr>
        <w:t>Soering</w:t>
      </w:r>
      <w:proofErr w:type="spellEnd"/>
      <w:r w:rsidR="00653EEE">
        <w:rPr>
          <w:rFonts w:asciiTheme="minorHAnsi" w:hAnsiTheme="minorHAnsi" w:cstheme="minorHAnsi"/>
          <w:lang w:val="en-US"/>
        </w:rPr>
        <w:t>.</w:t>
      </w:r>
    </w:p>
    <w:p w14:paraId="39AAAA1E" w14:textId="77777777" w:rsidR="00684262" w:rsidRPr="00F938D8" w:rsidRDefault="00684262" w:rsidP="00F938D8">
      <w:pPr>
        <w:rPr>
          <w:lang w:val="en-US"/>
        </w:rPr>
      </w:pPr>
    </w:p>
    <w:p w14:paraId="6862EBA1" w14:textId="71AF1478" w:rsidR="00C634A0" w:rsidRPr="00533D7F" w:rsidRDefault="00C634A0" w:rsidP="00C634A0">
      <w:pPr>
        <w:pStyle w:val="Titre2"/>
        <w:numPr>
          <w:ilvl w:val="0"/>
          <w:numId w:val="1"/>
        </w:numPr>
        <w:rPr>
          <w:rFonts w:asciiTheme="minorHAnsi" w:hAnsiTheme="minorHAnsi" w:cstheme="minorHAnsi"/>
          <w:lang w:val="en-US"/>
        </w:rPr>
      </w:pPr>
      <w:r w:rsidRPr="00533D7F">
        <w:rPr>
          <w:rFonts w:asciiTheme="minorHAnsi" w:hAnsiTheme="minorHAnsi" w:cstheme="minorHAnsi"/>
          <w:lang w:val="en-US"/>
        </w:rPr>
        <w:t xml:space="preserve">Advancing Human Rights to the detriment of the rights of </w:t>
      </w:r>
      <w:proofErr w:type="spellStart"/>
      <w:r w:rsidRPr="00533D7F">
        <w:rPr>
          <w:rFonts w:asciiTheme="minorHAnsi" w:hAnsiTheme="minorHAnsi" w:cstheme="minorHAnsi"/>
          <w:lang w:val="en-US"/>
        </w:rPr>
        <w:t>defence</w:t>
      </w:r>
      <w:proofErr w:type="spellEnd"/>
      <w:r w:rsidR="009A618B" w:rsidRPr="00533D7F">
        <w:rPr>
          <w:rFonts w:asciiTheme="minorHAnsi" w:hAnsiTheme="minorHAnsi" w:cstheme="minorHAnsi"/>
          <w:lang w:val="en-US"/>
        </w:rPr>
        <w:t xml:space="preserve"> (conclusion)</w:t>
      </w:r>
    </w:p>
    <w:p w14:paraId="0913170F" w14:textId="0C111932" w:rsidR="00FB1782" w:rsidRPr="00533D7F" w:rsidRDefault="00FB1782" w:rsidP="00FB1782">
      <w:pPr>
        <w:rPr>
          <w:rFonts w:asciiTheme="minorHAnsi" w:hAnsiTheme="minorHAnsi" w:cstheme="minorHAnsi"/>
          <w:lang w:val="en-US" w:eastAsia="en-US"/>
        </w:rPr>
      </w:pPr>
    </w:p>
    <w:p w14:paraId="487CD7A6" w14:textId="315C2615" w:rsidR="00C11C81" w:rsidRPr="004C7D60" w:rsidRDefault="005C56FE" w:rsidP="00EF5502">
      <w:pPr>
        <w:jc w:val="both"/>
        <w:rPr>
          <w:rStyle w:val="Accentuation"/>
          <w:rFonts w:asciiTheme="minorHAnsi" w:hAnsiTheme="minorHAnsi" w:cstheme="minorHAnsi"/>
          <w:i w:val="0"/>
          <w:iCs w:val="0"/>
          <w:color w:val="000000" w:themeColor="text1"/>
          <w:lang w:val="en-US"/>
        </w:rPr>
      </w:pPr>
      <w:r w:rsidRPr="00CF0BE4">
        <w:rPr>
          <w:rFonts w:asciiTheme="minorHAnsi" w:hAnsiTheme="minorHAnsi" w:cstheme="minorHAnsi"/>
          <w:lang w:val="en-US" w:eastAsia="en-US"/>
        </w:rPr>
        <w:t xml:space="preserve">This article </w:t>
      </w:r>
      <w:r w:rsidR="00EF5502" w:rsidRPr="00CF0BE4">
        <w:rPr>
          <w:rFonts w:asciiTheme="minorHAnsi" w:hAnsiTheme="minorHAnsi" w:cstheme="minorHAnsi"/>
          <w:lang w:val="en-US" w:eastAsia="en-US"/>
        </w:rPr>
        <w:t>sought to unveil how</w:t>
      </w:r>
      <w:r w:rsidR="00457295" w:rsidRPr="00CF0BE4">
        <w:rPr>
          <w:rFonts w:asciiTheme="minorHAnsi" w:hAnsiTheme="minorHAnsi" w:cstheme="minorHAnsi"/>
          <w:lang w:val="en-US" w:eastAsia="en-US"/>
        </w:rPr>
        <w:t>, with the</w:t>
      </w:r>
      <w:r w:rsidR="00EF5502" w:rsidRPr="00CF0BE4">
        <w:rPr>
          <w:rFonts w:asciiTheme="minorHAnsi" w:hAnsiTheme="minorHAnsi" w:cstheme="minorHAnsi"/>
          <w:lang w:val="en-US" w:eastAsia="en-US"/>
        </w:rPr>
        <w:t xml:space="preserve"> </w:t>
      </w:r>
      <w:proofErr w:type="spellStart"/>
      <w:r w:rsidR="00EF5502" w:rsidRPr="00CF0BE4">
        <w:rPr>
          <w:rFonts w:asciiTheme="minorHAnsi" w:hAnsiTheme="minorHAnsi" w:cstheme="minorHAnsi"/>
          <w:i/>
          <w:iCs/>
          <w:lang w:val="en-US" w:eastAsia="en-US"/>
        </w:rPr>
        <w:t>Güzelyurtlu</w:t>
      </w:r>
      <w:proofErr w:type="spellEnd"/>
      <w:r w:rsidR="00EF5502" w:rsidRPr="00CF0BE4">
        <w:rPr>
          <w:rFonts w:asciiTheme="minorHAnsi" w:hAnsiTheme="minorHAnsi" w:cstheme="minorHAnsi"/>
          <w:lang w:val="en-US" w:eastAsia="en-US"/>
        </w:rPr>
        <w:t xml:space="preserve"> and </w:t>
      </w:r>
      <w:proofErr w:type="spellStart"/>
      <w:r w:rsidR="00721DE8" w:rsidRPr="00CF0BE4">
        <w:rPr>
          <w:rFonts w:asciiTheme="minorHAnsi" w:hAnsiTheme="minorHAnsi" w:cstheme="minorHAnsi"/>
          <w:i/>
          <w:iCs/>
          <w:lang w:val="en-US"/>
        </w:rPr>
        <w:t>Castaño</w:t>
      </w:r>
      <w:proofErr w:type="spellEnd"/>
      <w:r w:rsidR="00EF5502" w:rsidRPr="00CF0BE4">
        <w:rPr>
          <w:rStyle w:val="Accentuation"/>
          <w:rFonts w:asciiTheme="minorHAnsi" w:hAnsiTheme="minorHAnsi" w:cstheme="minorHAnsi"/>
          <w:i w:val="0"/>
          <w:iCs w:val="0"/>
          <w:color w:val="000000" w:themeColor="text1"/>
          <w:lang w:val="en-US"/>
        </w:rPr>
        <w:t xml:space="preserve"> </w:t>
      </w:r>
      <w:r w:rsidR="00457295" w:rsidRPr="00CF0BE4">
        <w:rPr>
          <w:rStyle w:val="Accentuation"/>
          <w:rFonts w:asciiTheme="minorHAnsi" w:hAnsiTheme="minorHAnsi" w:cstheme="minorHAnsi"/>
          <w:i w:val="0"/>
          <w:iCs w:val="0"/>
          <w:color w:val="000000" w:themeColor="text1"/>
          <w:lang w:val="en-US"/>
        </w:rPr>
        <w:t>case</w:t>
      </w:r>
      <w:r w:rsidR="009073F4">
        <w:rPr>
          <w:rStyle w:val="Accentuation"/>
          <w:rFonts w:asciiTheme="minorHAnsi" w:hAnsiTheme="minorHAnsi" w:cstheme="minorHAnsi"/>
          <w:i w:val="0"/>
          <w:iCs w:val="0"/>
          <w:color w:val="000000" w:themeColor="text1"/>
          <w:lang w:val="en-US"/>
        </w:rPr>
        <w:t>s</w:t>
      </w:r>
      <w:r w:rsidR="00457295" w:rsidRPr="00CF0BE4">
        <w:rPr>
          <w:rStyle w:val="Accentuation"/>
          <w:rFonts w:asciiTheme="minorHAnsi" w:hAnsiTheme="minorHAnsi" w:cstheme="minorHAnsi"/>
          <w:i w:val="0"/>
          <w:iCs w:val="0"/>
          <w:color w:val="000000" w:themeColor="text1"/>
          <w:lang w:val="en-US"/>
        </w:rPr>
        <w:t xml:space="preserve">, the Court </w:t>
      </w:r>
      <w:r w:rsidR="004C7D60" w:rsidRPr="00CF0BE4">
        <w:rPr>
          <w:rStyle w:val="Accentuation"/>
          <w:rFonts w:asciiTheme="minorHAnsi" w:hAnsiTheme="minorHAnsi" w:cstheme="minorHAnsi"/>
          <w:i w:val="0"/>
          <w:iCs w:val="0"/>
          <w:color w:val="000000" w:themeColor="text1"/>
          <w:lang w:val="en-US"/>
        </w:rPr>
        <w:t xml:space="preserve">backtracked to some extent </w:t>
      </w:r>
      <w:r w:rsidR="002B5226">
        <w:rPr>
          <w:rStyle w:val="Accentuation"/>
          <w:rFonts w:asciiTheme="minorHAnsi" w:hAnsiTheme="minorHAnsi" w:cstheme="minorHAnsi"/>
          <w:i w:val="0"/>
          <w:iCs w:val="0"/>
          <w:color w:val="000000" w:themeColor="text1"/>
          <w:lang w:val="en-US"/>
        </w:rPr>
        <w:t>on</w:t>
      </w:r>
      <w:r w:rsidR="002F6630" w:rsidRPr="00CF0BE4">
        <w:rPr>
          <w:rStyle w:val="Accentuation"/>
          <w:rFonts w:asciiTheme="minorHAnsi" w:hAnsiTheme="minorHAnsi" w:cstheme="minorHAnsi"/>
          <w:i w:val="0"/>
          <w:iCs w:val="0"/>
          <w:color w:val="000000" w:themeColor="text1"/>
          <w:lang w:val="en-US"/>
        </w:rPr>
        <w:t xml:space="preserve"> </w:t>
      </w:r>
      <w:r w:rsidR="00457295" w:rsidRPr="00CF0BE4">
        <w:rPr>
          <w:rStyle w:val="Accentuation"/>
          <w:rFonts w:asciiTheme="minorHAnsi" w:hAnsiTheme="minorHAnsi" w:cstheme="minorHAnsi"/>
          <w:i w:val="0"/>
          <w:iCs w:val="0"/>
          <w:color w:val="000000" w:themeColor="text1"/>
          <w:lang w:val="en-US"/>
        </w:rPr>
        <w:t xml:space="preserve">the approach it had adopted under </w:t>
      </w:r>
      <w:proofErr w:type="spellStart"/>
      <w:r w:rsidR="00EF5502" w:rsidRPr="00CF0BE4">
        <w:rPr>
          <w:rStyle w:val="Accentuation"/>
          <w:rFonts w:asciiTheme="minorHAnsi" w:hAnsiTheme="minorHAnsi" w:cstheme="minorHAnsi"/>
          <w:color w:val="000000" w:themeColor="text1"/>
          <w:lang w:val="en-US"/>
        </w:rPr>
        <w:t>Soering</w:t>
      </w:r>
      <w:proofErr w:type="spellEnd"/>
      <w:r w:rsidR="00CF0BE4">
        <w:rPr>
          <w:rStyle w:val="Accentuation"/>
          <w:rFonts w:asciiTheme="minorHAnsi" w:hAnsiTheme="minorHAnsi" w:cstheme="minorHAnsi"/>
          <w:i w:val="0"/>
          <w:iCs w:val="0"/>
          <w:color w:val="000000" w:themeColor="text1"/>
          <w:lang w:val="en-US"/>
        </w:rPr>
        <w:t>, as far as</w:t>
      </w:r>
      <w:r w:rsidR="00CF0BE4" w:rsidRPr="00CF0BE4">
        <w:rPr>
          <w:rStyle w:val="Accentuation"/>
          <w:rFonts w:asciiTheme="minorHAnsi" w:hAnsiTheme="minorHAnsi" w:cstheme="minorHAnsi"/>
          <w:i w:val="0"/>
          <w:iCs w:val="0"/>
          <w:color w:val="000000" w:themeColor="text1"/>
          <w:lang w:val="en-US"/>
        </w:rPr>
        <w:t xml:space="preserve"> the relation and hierarchy between extradition and fundamental rights</w:t>
      </w:r>
      <w:r w:rsidR="009C3FDD">
        <w:rPr>
          <w:rStyle w:val="Accentuation"/>
          <w:rFonts w:asciiTheme="minorHAnsi" w:hAnsiTheme="minorHAnsi" w:cstheme="minorHAnsi"/>
          <w:i w:val="0"/>
          <w:iCs w:val="0"/>
          <w:color w:val="000000" w:themeColor="text1"/>
          <w:lang w:val="en-US"/>
        </w:rPr>
        <w:t xml:space="preserve"> are </w:t>
      </w:r>
      <w:r w:rsidR="007175ED">
        <w:rPr>
          <w:rStyle w:val="Accentuation"/>
          <w:rFonts w:asciiTheme="minorHAnsi" w:hAnsiTheme="minorHAnsi" w:cstheme="minorHAnsi"/>
          <w:i w:val="0"/>
          <w:iCs w:val="0"/>
          <w:color w:val="000000" w:themeColor="text1"/>
          <w:lang w:val="en-US"/>
        </w:rPr>
        <w:t>concerned</w:t>
      </w:r>
      <w:r w:rsidR="00E07C19">
        <w:rPr>
          <w:rStyle w:val="Accentuation"/>
          <w:rFonts w:asciiTheme="minorHAnsi" w:hAnsiTheme="minorHAnsi" w:cstheme="minorHAnsi"/>
          <w:i w:val="0"/>
          <w:iCs w:val="0"/>
          <w:color w:val="000000" w:themeColor="text1"/>
          <w:lang w:val="en-US"/>
        </w:rPr>
        <w:t>;</w:t>
      </w:r>
      <w:r w:rsidR="00612359">
        <w:rPr>
          <w:rStyle w:val="Accentuation"/>
          <w:rFonts w:asciiTheme="minorHAnsi" w:hAnsiTheme="minorHAnsi" w:cstheme="minorHAnsi"/>
          <w:i w:val="0"/>
          <w:iCs w:val="0"/>
          <w:color w:val="000000" w:themeColor="text1"/>
          <w:lang w:val="en-US"/>
        </w:rPr>
        <w:t xml:space="preserve"> and how this brought it closer to the position of the CJEU</w:t>
      </w:r>
      <w:r w:rsidR="00CF0BE4" w:rsidRPr="00CF0BE4">
        <w:rPr>
          <w:rStyle w:val="Accentuation"/>
          <w:rFonts w:asciiTheme="minorHAnsi" w:hAnsiTheme="minorHAnsi" w:cstheme="minorHAnsi"/>
          <w:i w:val="0"/>
          <w:iCs w:val="0"/>
          <w:color w:val="000000" w:themeColor="text1"/>
          <w:lang w:val="en-US"/>
        </w:rPr>
        <w:t>.</w:t>
      </w:r>
      <w:r w:rsidR="00EF5502" w:rsidRPr="00533D7F">
        <w:rPr>
          <w:rStyle w:val="Accentuation"/>
          <w:rFonts w:asciiTheme="minorHAnsi" w:hAnsiTheme="minorHAnsi" w:cstheme="minorHAnsi"/>
          <w:i w:val="0"/>
          <w:iCs w:val="0"/>
          <w:color w:val="000000" w:themeColor="text1"/>
          <w:lang w:val="en-US"/>
        </w:rPr>
        <w:t xml:space="preserve"> </w:t>
      </w:r>
      <w:r w:rsidR="00EF5502" w:rsidRPr="00E9695D">
        <w:rPr>
          <w:rStyle w:val="Accentuation"/>
          <w:rFonts w:asciiTheme="minorHAnsi" w:hAnsiTheme="minorHAnsi" w:cstheme="minorHAnsi"/>
          <w:i w:val="0"/>
          <w:iCs w:val="0"/>
          <w:color w:val="000000" w:themeColor="text1"/>
          <w:lang w:val="en-US"/>
        </w:rPr>
        <w:t xml:space="preserve">It started by outlining </w:t>
      </w:r>
      <w:r w:rsidR="004C7D60" w:rsidRPr="00E9695D">
        <w:rPr>
          <w:rStyle w:val="Accentuation"/>
          <w:rFonts w:asciiTheme="minorHAnsi" w:hAnsiTheme="minorHAnsi" w:cstheme="minorHAnsi"/>
          <w:i w:val="0"/>
          <w:iCs w:val="0"/>
          <w:color w:val="000000" w:themeColor="text1"/>
          <w:lang w:val="en-US"/>
        </w:rPr>
        <w:t xml:space="preserve">that </w:t>
      </w:r>
      <w:r w:rsidR="00383856" w:rsidRPr="00E9695D">
        <w:rPr>
          <w:rStyle w:val="Accentuation"/>
          <w:rFonts w:asciiTheme="minorHAnsi" w:hAnsiTheme="minorHAnsi" w:cstheme="minorHAnsi"/>
          <w:i w:val="0"/>
          <w:iCs w:val="0"/>
          <w:color w:val="000000" w:themeColor="text1"/>
          <w:lang w:val="en-US"/>
        </w:rPr>
        <w:t xml:space="preserve">the </w:t>
      </w:r>
      <w:r w:rsidR="00383856" w:rsidRPr="00E9695D">
        <w:rPr>
          <w:rStyle w:val="Accentuation"/>
          <w:rFonts w:asciiTheme="minorHAnsi" w:hAnsiTheme="minorHAnsi" w:cstheme="minorHAnsi"/>
          <w:color w:val="000000" w:themeColor="text1"/>
          <w:lang w:val="en-US"/>
        </w:rPr>
        <w:t xml:space="preserve">ne bis in </w:t>
      </w:r>
      <w:r w:rsidR="00383856" w:rsidRPr="00650689">
        <w:rPr>
          <w:rStyle w:val="Accentuation"/>
          <w:rFonts w:asciiTheme="minorHAnsi" w:hAnsiTheme="minorHAnsi"/>
          <w:color w:val="000000" w:themeColor="text1"/>
          <w:lang w:val="en-US"/>
        </w:rPr>
        <w:t>idem</w:t>
      </w:r>
      <w:r w:rsidR="00383856" w:rsidRPr="00E9695D">
        <w:rPr>
          <w:rStyle w:val="Accentuation"/>
          <w:rFonts w:asciiTheme="minorHAnsi" w:hAnsiTheme="minorHAnsi" w:cstheme="minorHAnsi"/>
          <w:i w:val="0"/>
          <w:iCs w:val="0"/>
          <w:color w:val="000000" w:themeColor="text1"/>
          <w:lang w:val="en-US"/>
        </w:rPr>
        <w:t xml:space="preserve"> </w:t>
      </w:r>
      <w:r w:rsidR="00383856" w:rsidRPr="00E9695D">
        <w:rPr>
          <w:rStyle w:val="Accentuation"/>
          <w:rFonts w:asciiTheme="minorHAnsi" w:hAnsiTheme="minorHAnsi" w:cstheme="minorHAnsi"/>
          <w:i w:val="0"/>
          <w:iCs w:val="0"/>
          <w:color w:val="000000" w:themeColor="text1"/>
          <w:lang w:val="en-US"/>
        </w:rPr>
        <w:lastRenderedPageBreak/>
        <w:t>principle</w:t>
      </w:r>
      <w:r w:rsidR="004C7D60" w:rsidRPr="00E9695D">
        <w:rPr>
          <w:rStyle w:val="Accentuation"/>
          <w:rFonts w:asciiTheme="minorHAnsi" w:hAnsiTheme="minorHAnsi" w:cstheme="minorHAnsi"/>
          <w:i w:val="0"/>
          <w:iCs w:val="0"/>
          <w:color w:val="000000" w:themeColor="text1"/>
          <w:lang w:val="en-US"/>
        </w:rPr>
        <w:t xml:space="preserve"> was the sole provision</w:t>
      </w:r>
      <w:r w:rsidR="00925073" w:rsidRPr="00E9695D">
        <w:rPr>
          <w:rStyle w:val="Accentuation"/>
          <w:rFonts w:asciiTheme="minorHAnsi" w:hAnsiTheme="minorHAnsi" w:cstheme="minorHAnsi"/>
          <w:i w:val="0"/>
          <w:iCs w:val="0"/>
          <w:color w:val="000000" w:themeColor="text1"/>
          <w:lang w:val="en-US"/>
        </w:rPr>
        <w:t xml:space="preserve"> contained in the ECHR</w:t>
      </w:r>
      <w:r w:rsidR="004C7D60" w:rsidRPr="00E9695D">
        <w:rPr>
          <w:rStyle w:val="Accentuation"/>
          <w:rFonts w:asciiTheme="minorHAnsi" w:hAnsiTheme="minorHAnsi" w:cstheme="minorHAnsi"/>
          <w:i w:val="0"/>
          <w:iCs w:val="0"/>
          <w:color w:val="000000" w:themeColor="text1"/>
          <w:lang w:val="en-US"/>
        </w:rPr>
        <w:t xml:space="preserve"> </w:t>
      </w:r>
      <w:r w:rsidR="00C920C6">
        <w:rPr>
          <w:rStyle w:val="Accentuation"/>
          <w:rFonts w:asciiTheme="minorHAnsi" w:hAnsiTheme="minorHAnsi" w:cstheme="minorHAnsi"/>
          <w:i w:val="0"/>
          <w:iCs w:val="0"/>
          <w:color w:val="000000" w:themeColor="text1"/>
          <w:lang w:val="en-US"/>
        </w:rPr>
        <w:t xml:space="preserve">(and the EU Charter) </w:t>
      </w:r>
      <w:r w:rsidR="00D81770">
        <w:rPr>
          <w:rStyle w:val="Accentuation"/>
          <w:rFonts w:asciiTheme="minorHAnsi" w:hAnsiTheme="minorHAnsi" w:cstheme="minorHAnsi"/>
          <w:i w:val="0"/>
          <w:iCs w:val="0"/>
          <w:color w:val="000000" w:themeColor="text1"/>
          <w:lang w:val="en-US"/>
        </w:rPr>
        <w:t xml:space="preserve">that </w:t>
      </w:r>
      <w:r w:rsidR="00C920C6">
        <w:rPr>
          <w:rStyle w:val="Accentuation"/>
          <w:rFonts w:asciiTheme="minorHAnsi" w:hAnsiTheme="minorHAnsi" w:cstheme="minorHAnsi"/>
          <w:i w:val="0"/>
          <w:iCs w:val="0"/>
          <w:color w:val="000000" w:themeColor="text1"/>
          <w:lang w:val="en-US"/>
        </w:rPr>
        <w:t>explicitly</w:t>
      </w:r>
      <w:r w:rsidR="00D81770">
        <w:rPr>
          <w:rStyle w:val="Accentuation"/>
          <w:rFonts w:asciiTheme="minorHAnsi" w:hAnsiTheme="minorHAnsi" w:cstheme="minorHAnsi"/>
          <w:i w:val="0"/>
          <w:iCs w:val="0"/>
          <w:color w:val="000000" w:themeColor="text1"/>
          <w:lang w:val="en-US"/>
        </w:rPr>
        <w:t xml:space="preserve"> protects</w:t>
      </w:r>
      <w:r w:rsidR="004C7D60" w:rsidRPr="00E9695D">
        <w:rPr>
          <w:rStyle w:val="Accentuation"/>
          <w:rFonts w:asciiTheme="minorHAnsi" w:hAnsiTheme="minorHAnsi" w:cstheme="minorHAnsi"/>
          <w:i w:val="0"/>
          <w:iCs w:val="0"/>
          <w:color w:val="000000" w:themeColor="text1"/>
          <w:lang w:val="en-US"/>
        </w:rPr>
        <w:t xml:space="preserve"> human rights in transborder cases.</w:t>
      </w:r>
      <w:r w:rsidR="004C7D60">
        <w:rPr>
          <w:rStyle w:val="Accentuation"/>
          <w:rFonts w:asciiTheme="minorHAnsi" w:hAnsiTheme="minorHAnsi" w:cstheme="minorHAnsi"/>
          <w:i w:val="0"/>
          <w:iCs w:val="0"/>
          <w:color w:val="000000" w:themeColor="text1"/>
          <w:lang w:val="en-US"/>
        </w:rPr>
        <w:t xml:space="preserve"> It then outlined how</w:t>
      </w:r>
      <w:r w:rsidR="00395F58">
        <w:rPr>
          <w:rStyle w:val="Accentuation"/>
          <w:rFonts w:asciiTheme="minorHAnsi" w:hAnsiTheme="minorHAnsi" w:cstheme="minorHAnsi"/>
          <w:i w:val="0"/>
          <w:iCs w:val="0"/>
          <w:color w:val="000000" w:themeColor="text1"/>
          <w:lang w:val="en-US"/>
        </w:rPr>
        <w:t xml:space="preserve">, with the </w:t>
      </w:r>
      <w:proofErr w:type="spellStart"/>
      <w:r w:rsidR="00395F58">
        <w:rPr>
          <w:rStyle w:val="Accentuation"/>
          <w:rFonts w:asciiTheme="minorHAnsi" w:hAnsiTheme="minorHAnsi" w:cstheme="minorHAnsi"/>
          <w:color w:val="000000" w:themeColor="text1"/>
          <w:lang w:val="en-US"/>
        </w:rPr>
        <w:t>Soering</w:t>
      </w:r>
      <w:proofErr w:type="spellEnd"/>
      <w:r w:rsidR="00395F58">
        <w:rPr>
          <w:rStyle w:val="Accentuation"/>
          <w:rFonts w:asciiTheme="minorHAnsi" w:hAnsiTheme="minorHAnsi" w:cstheme="minorHAnsi"/>
          <w:i w:val="0"/>
          <w:iCs w:val="0"/>
          <w:color w:val="000000" w:themeColor="text1"/>
          <w:lang w:val="en-US"/>
        </w:rPr>
        <w:t xml:space="preserve"> case, the Court</w:t>
      </w:r>
      <w:r w:rsidR="004C7D60">
        <w:rPr>
          <w:rStyle w:val="Accentuation"/>
          <w:rFonts w:asciiTheme="minorHAnsi" w:hAnsiTheme="minorHAnsi" w:cstheme="minorHAnsi"/>
          <w:i w:val="0"/>
          <w:iCs w:val="0"/>
          <w:color w:val="000000" w:themeColor="text1"/>
          <w:lang w:val="en-US"/>
        </w:rPr>
        <w:t xml:space="preserve"> in part</w:t>
      </w:r>
      <w:r w:rsidR="00395F58">
        <w:rPr>
          <w:rStyle w:val="Accentuation"/>
          <w:rFonts w:asciiTheme="minorHAnsi" w:hAnsiTheme="minorHAnsi" w:cstheme="minorHAnsi"/>
          <w:i w:val="0"/>
          <w:iCs w:val="0"/>
          <w:color w:val="000000" w:themeColor="text1"/>
          <w:lang w:val="en-US"/>
        </w:rPr>
        <w:t xml:space="preserve"> </w:t>
      </w:r>
      <w:r w:rsidR="004C7D60">
        <w:rPr>
          <w:rStyle w:val="Accentuation"/>
          <w:rFonts w:asciiTheme="minorHAnsi" w:hAnsiTheme="minorHAnsi" w:cstheme="minorHAnsi"/>
          <w:i w:val="0"/>
          <w:iCs w:val="0"/>
          <w:color w:val="000000" w:themeColor="text1"/>
          <w:lang w:val="en-US"/>
        </w:rPr>
        <w:t xml:space="preserve">remedied that lacuna by subjecting cooperation to the respect of human rights. It then turned to the </w:t>
      </w:r>
      <w:proofErr w:type="spellStart"/>
      <w:r w:rsidR="004C7D60" w:rsidRPr="00533D7F">
        <w:rPr>
          <w:rFonts w:asciiTheme="minorHAnsi" w:hAnsiTheme="minorHAnsi" w:cstheme="minorHAnsi"/>
          <w:i/>
          <w:iCs/>
          <w:lang w:val="en-US" w:eastAsia="en-US"/>
        </w:rPr>
        <w:t>Güzelyurtlu</w:t>
      </w:r>
      <w:proofErr w:type="spellEnd"/>
      <w:r w:rsidR="004C7D60" w:rsidRPr="00533D7F">
        <w:rPr>
          <w:rFonts w:asciiTheme="minorHAnsi" w:hAnsiTheme="minorHAnsi" w:cstheme="minorHAnsi"/>
          <w:lang w:val="en-US" w:eastAsia="en-US"/>
        </w:rPr>
        <w:t xml:space="preserve"> and </w:t>
      </w:r>
      <w:proofErr w:type="spellStart"/>
      <w:r w:rsidR="004C7D60" w:rsidRPr="00533D7F">
        <w:rPr>
          <w:rFonts w:asciiTheme="minorHAnsi" w:hAnsiTheme="minorHAnsi" w:cstheme="minorHAnsi"/>
          <w:i/>
          <w:iCs/>
          <w:lang w:val="en-US"/>
        </w:rPr>
        <w:t>Castaño</w:t>
      </w:r>
      <w:proofErr w:type="spellEnd"/>
      <w:r w:rsidR="004C7D60">
        <w:rPr>
          <w:rFonts w:asciiTheme="minorHAnsi" w:hAnsiTheme="minorHAnsi" w:cstheme="minorHAnsi"/>
          <w:i/>
          <w:iCs/>
          <w:lang w:val="en-US"/>
        </w:rPr>
        <w:t xml:space="preserve"> </w:t>
      </w:r>
      <w:r w:rsidR="004C7D60">
        <w:rPr>
          <w:rFonts w:asciiTheme="minorHAnsi" w:hAnsiTheme="minorHAnsi" w:cstheme="minorHAnsi"/>
          <w:lang w:val="en-US"/>
        </w:rPr>
        <w:t xml:space="preserve">cases </w:t>
      </w:r>
      <w:r w:rsidR="00AA1B3F">
        <w:rPr>
          <w:rFonts w:asciiTheme="minorHAnsi" w:hAnsiTheme="minorHAnsi" w:cstheme="minorHAnsi"/>
          <w:lang w:val="en-US"/>
        </w:rPr>
        <w:t xml:space="preserve">to show how the Court </w:t>
      </w:r>
      <w:r w:rsidR="00334E05">
        <w:rPr>
          <w:rFonts w:asciiTheme="minorHAnsi" w:hAnsiTheme="minorHAnsi" w:cstheme="minorHAnsi"/>
          <w:lang w:val="en-US"/>
        </w:rPr>
        <w:t xml:space="preserve">today </w:t>
      </w:r>
      <w:r w:rsidR="00D3585A">
        <w:rPr>
          <w:rFonts w:asciiTheme="minorHAnsi" w:hAnsiTheme="minorHAnsi" w:cstheme="minorHAnsi"/>
          <w:lang w:val="en-US"/>
        </w:rPr>
        <w:t>set</w:t>
      </w:r>
      <w:r w:rsidR="00334E05">
        <w:rPr>
          <w:rFonts w:asciiTheme="minorHAnsi" w:hAnsiTheme="minorHAnsi" w:cstheme="minorHAnsi"/>
          <w:lang w:val="en-US"/>
        </w:rPr>
        <w:t>s</w:t>
      </w:r>
      <w:r w:rsidR="00D3585A">
        <w:rPr>
          <w:rFonts w:asciiTheme="minorHAnsi" w:hAnsiTheme="minorHAnsi" w:cstheme="minorHAnsi"/>
          <w:lang w:val="en-US"/>
        </w:rPr>
        <w:t xml:space="preserve"> cooperation</w:t>
      </w:r>
      <w:r w:rsidR="002B5226">
        <w:rPr>
          <w:rFonts w:asciiTheme="minorHAnsi" w:hAnsiTheme="minorHAnsi" w:cstheme="minorHAnsi"/>
          <w:lang w:val="en-US"/>
        </w:rPr>
        <w:t>,</w:t>
      </w:r>
      <w:r w:rsidR="00D3585A">
        <w:rPr>
          <w:rFonts w:asciiTheme="minorHAnsi" w:hAnsiTheme="minorHAnsi" w:cstheme="minorHAnsi"/>
          <w:lang w:val="en-US"/>
        </w:rPr>
        <w:t xml:space="preserve"> as a precondition for human rights protection</w:t>
      </w:r>
      <w:r w:rsidR="00AA1B3F">
        <w:rPr>
          <w:rFonts w:asciiTheme="minorHAnsi" w:hAnsiTheme="minorHAnsi" w:cstheme="minorHAnsi"/>
          <w:lang w:val="en-US"/>
        </w:rPr>
        <w:t>.</w:t>
      </w:r>
      <w:r w:rsidR="00060188">
        <w:rPr>
          <w:rFonts w:asciiTheme="minorHAnsi" w:hAnsiTheme="minorHAnsi" w:cstheme="minorHAnsi"/>
          <w:lang w:val="en-US"/>
        </w:rPr>
        <w:t xml:space="preserve"> It then looked at how this new rationale was one that allowed it to align human rights protection in transborder criminal cases with the one of the CJEU</w:t>
      </w:r>
      <w:r w:rsidR="00D3585A">
        <w:rPr>
          <w:rFonts w:asciiTheme="minorHAnsi" w:hAnsiTheme="minorHAnsi" w:cstheme="minorHAnsi"/>
          <w:lang w:val="en-US"/>
        </w:rPr>
        <w:t>, and how the latter also tempered its originally unbending approach to cooperation</w:t>
      </w:r>
      <w:r w:rsidR="00060188">
        <w:rPr>
          <w:rFonts w:asciiTheme="minorHAnsi" w:hAnsiTheme="minorHAnsi" w:cstheme="minorHAnsi"/>
          <w:lang w:val="en-US"/>
        </w:rPr>
        <w:t xml:space="preserve">. It is against this </w:t>
      </w:r>
      <w:r w:rsidR="00837495">
        <w:rPr>
          <w:rFonts w:asciiTheme="minorHAnsi" w:hAnsiTheme="minorHAnsi" w:cstheme="minorHAnsi"/>
          <w:lang w:val="en-US"/>
        </w:rPr>
        <w:t xml:space="preserve">general </w:t>
      </w:r>
      <w:r w:rsidR="00060188">
        <w:rPr>
          <w:rFonts w:asciiTheme="minorHAnsi" w:hAnsiTheme="minorHAnsi" w:cstheme="minorHAnsi"/>
          <w:lang w:val="en-US"/>
        </w:rPr>
        <w:t>backdrop that this paper warns against a too compromising attitude with regards to human rights in the field of cooperation in criminal matters.</w:t>
      </w:r>
    </w:p>
    <w:p w14:paraId="025AE2DB" w14:textId="77777777" w:rsidR="00F94A8B" w:rsidRPr="00533D7F" w:rsidRDefault="00F94A8B" w:rsidP="00EF5502">
      <w:pPr>
        <w:jc w:val="both"/>
        <w:rPr>
          <w:rStyle w:val="Accentuation"/>
          <w:rFonts w:asciiTheme="minorHAnsi" w:hAnsiTheme="minorHAnsi" w:cstheme="minorHAnsi"/>
          <w:i w:val="0"/>
          <w:iCs w:val="0"/>
          <w:color w:val="000000" w:themeColor="text1"/>
          <w:lang w:val="en-US"/>
        </w:rPr>
      </w:pPr>
    </w:p>
    <w:p w14:paraId="09846336" w14:textId="36FBA6A8" w:rsidR="00334E05" w:rsidRDefault="00C634A0" w:rsidP="00EF5502">
      <w:pPr>
        <w:jc w:val="both"/>
        <w:rPr>
          <w:rStyle w:val="Accentuation"/>
          <w:rFonts w:asciiTheme="minorHAnsi" w:hAnsiTheme="minorHAnsi" w:cstheme="minorHAnsi"/>
          <w:i w:val="0"/>
          <w:iCs w:val="0"/>
          <w:color w:val="000000" w:themeColor="text1"/>
          <w:lang w:val="en-US"/>
        </w:rPr>
      </w:pPr>
      <w:r w:rsidRPr="00533D7F">
        <w:rPr>
          <w:rStyle w:val="Accentuation"/>
          <w:rFonts w:asciiTheme="minorHAnsi" w:hAnsiTheme="minorHAnsi" w:cstheme="minorHAnsi"/>
          <w:i w:val="0"/>
          <w:iCs w:val="0"/>
          <w:color w:val="000000" w:themeColor="text1"/>
          <w:lang w:val="en-US"/>
        </w:rPr>
        <w:t>The</w:t>
      </w:r>
      <w:r w:rsidR="008D7491" w:rsidRPr="00533D7F">
        <w:rPr>
          <w:rStyle w:val="Accentuation"/>
          <w:rFonts w:asciiTheme="minorHAnsi" w:hAnsiTheme="minorHAnsi" w:cstheme="minorHAnsi"/>
          <w:i w:val="0"/>
          <w:iCs w:val="0"/>
          <w:color w:val="000000" w:themeColor="text1"/>
          <w:lang w:val="en-US"/>
        </w:rPr>
        <w:t xml:space="preserve"> different rulings of the </w:t>
      </w:r>
      <w:r w:rsidRPr="00533D7F">
        <w:rPr>
          <w:rStyle w:val="Accentuation"/>
          <w:rFonts w:asciiTheme="minorHAnsi" w:hAnsiTheme="minorHAnsi" w:cstheme="minorHAnsi"/>
          <w:i w:val="0"/>
          <w:iCs w:val="0"/>
          <w:color w:val="000000" w:themeColor="text1"/>
          <w:lang w:val="en-US"/>
        </w:rPr>
        <w:t xml:space="preserve">European </w:t>
      </w:r>
      <w:r w:rsidR="008D7491" w:rsidRPr="00533D7F">
        <w:rPr>
          <w:rStyle w:val="Accentuation"/>
          <w:rFonts w:asciiTheme="minorHAnsi" w:hAnsiTheme="minorHAnsi" w:cstheme="minorHAnsi"/>
          <w:i w:val="0"/>
          <w:iCs w:val="0"/>
          <w:color w:val="000000" w:themeColor="text1"/>
          <w:lang w:val="en-US"/>
        </w:rPr>
        <w:t>Court</w:t>
      </w:r>
      <w:r w:rsidRPr="00533D7F">
        <w:rPr>
          <w:rStyle w:val="Accentuation"/>
          <w:rFonts w:asciiTheme="minorHAnsi" w:hAnsiTheme="minorHAnsi" w:cstheme="minorHAnsi"/>
          <w:i w:val="0"/>
          <w:iCs w:val="0"/>
          <w:color w:val="000000" w:themeColor="text1"/>
          <w:lang w:val="en-US"/>
        </w:rPr>
        <w:t xml:space="preserve"> of Human Rights discussed </w:t>
      </w:r>
      <w:r w:rsidRPr="005E342C">
        <w:rPr>
          <w:rStyle w:val="Accentuation"/>
          <w:rFonts w:asciiTheme="minorHAnsi" w:hAnsiTheme="minorHAnsi" w:cstheme="minorHAnsi"/>
          <w:i w:val="0"/>
          <w:iCs w:val="0"/>
          <w:color w:val="000000" w:themeColor="text1"/>
          <w:lang w:val="en-US"/>
        </w:rPr>
        <w:t>above</w:t>
      </w:r>
      <w:r w:rsidR="008D7491" w:rsidRPr="00533D7F">
        <w:rPr>
          <w:rStyle w:val="Accentuation"/>
          <w:rFonts w:asciiTheme="minorHAnsi" w:hAnsiTheme="minorHAnsi" w:cstheme="minorHAnsi"/>
          <w:i w:val="0"/>
          <w:iCs w:val="0"/>
          <w:color w:val="000000" w:themeColor="text1"/>
          <w:lang w:val="en-US"/>
        </w:rPr>
        <w:t xml:space="preserve"> have not helped to shape </w:t>
      </w:r>
      <w:r w:rsidR="00E540AA">
        <w:rPr>
          <w:rStyle w:val="Accentuation"/>
          <w:rFonts w:asciiTheme="minorHAnsi" w:hAnsiTheme="minorHAnsi" w:cstheme="minorHAnsi"/>
          <w:i w:val="0"/>
          <w:iCs w:val="0"/>
          <w:color w:val="000000" w:themeColor="text1"/>
          <w:lang w:val="en-US"/>
        </w:rPr>
        <w:t xml:space="preserve">clear </w:t>
      </w:r>
      <w:r w:rsidR="00E65B13">
        <w:rPr>
          <w:rStyle w:val="Accentuation"/>
          <w:rFonts w:asciiTheme="minorHAnsi" w:hAnsiTheme="minorHAnsi" w:cstheme="minorHAnsi"/>
          <w:i w:val="0"/>
          <w:iCs w:val="0"/>
          <w:color w:val="000000" w:themeColor="text1"/>
          <w:lang w:val="en-US"/>
        </w:rPr>
        <w:t xml:space="preserve">transnational </w:t>
      </w:r>
      <w:r w:rsidR="00E540AA">
        <w:rPr>
          <w:rStyle w:val="Accentuation"/>
          <w:rFonts w:asciiTheme="minorHAnsi" w:hAnsiTheme="minorHAnsi" w:cstheme="minorHAnsi"/>
          <w:i w:val="0"/>
          <w:iCs w:val="0"/>
          <w:color w:val="000000" w:themeColor="text1"/>
          <w:lang w:val="en-US"/>
        </w:rPr>
        <w:t>standards</w:t>
      </w:r>
      <w:r w:rsidR="008D7491" w:rsidRPr="00533D7F">
        <w:rPr>
          <w:rStyle w:val="Accentuation"/>
          <w:rFonts w:asciiTheme="minorHAnsi" w:hAnsiTheme="minorHAnsi" w:cstheme="minorHAnsi"/>
          <w:i w:val="0"/>
          <w:iCs w:val="0"/>
          <w:color w:val="000000" w:themeColor="text1"/>
          <w:lang w:val="en-US"/>
        </w:rPr>
        <w:t xml:space="preserve"> to human rights protection. </w:t>
      </w:r>
      <w:r w:rsidRPr="00533D7F">
        <w:rPr>
          <w:rStyle w:val="Accentuation"/>
          <w:rFonts w:asciiTheme="minorHAnsi" w:hAnsiTheme="minorHAnsi" w:cstheme="minorHAnsi"/>
          <w:i w:val="0"/>
          <w:iCs w:val="0"/>
          <w:color w:val="000000" w:themeColor="text1"/>
          <w:lang w:val="en-US"/>
        </w:rPr>
        <w:t>A</w:t>
      </w:r>
      <w:r w:rsidR="008D7491" w:rsidRPr="00533D7F">
        <w:rPr>
          <w:rStyle w:val="Accentuation"/>
          <w:rFonts w:asciiTheme="minorHAnsi" w:hAnsiTheme="minorHAnsi" w:cstheme="minorHAnsi"/>
          <w:i w:val="0"/>
          <w:iCs w:val="0"/>
          <w:color w:val="000000" w:themeColor="text1"/>
          <w:lang w:val="en-US"/>
        </w:rPr>
        <w:t xml:space="preserve">lthough </w:t>
      </w:r>
      <w:proofErr w:type="spellStart"/>
      <w:r w:rsidR="008D7491" w:rsidRPr="00533D7F">
        <w:rPr>
          <w:rStyle w:val="Accentuation"/>
          <w:rFonts w:asciiTheme="minorHAnsi" w:hAnsiTheme="minorHAnsi" w:cstheme="minorHAnsi"/>
          <w:color w:val="000000" w:themeColor="text1"/>
          <w:lang w:val="en-US"/>
        </w:rPr>
        <w:t>Soering</w:t>
      </w:r>
      <w:proofErr w:type="spellEnd"/>
      <w:r w:rsidR="008D7491" w:rsidRPr="00533D7F">
        <w:rPr>
          <w:rStyle w:val="Accentuation"/>
          <w:rFonts w:asciiTheme="minorHAnsi" w:hAnsiTheme="minorHAnsi" w:cstheme="minorHAnsi"/>
          <w:i w:val="0"/>
          <w:iCs w:val="0"/>
          <w:color w:val="000000" w:themeColor="text1"/>
          <w:lang w:val="en-US"/>
        </w:rPr>
        <w:t xml:space="preserve"> </w:t>
      </w:r>
      <w:r w:rsidR="00CC1D57" w:rsidRPr="00533D7F">
        <w:rPr>
          <w:rStyle w:val="Accentuation"/>
          <w:rFonts w:asciiTheme="minorHAnsi" w:hAnsiTheme="minorHAnsi" w:cstheme="minorHAnsi"/>
          <w:i w:val="0"/>
          <w:iCs w:val="0"/>
          <w:color w:val="000000" w:themeColor="text1"/>
          <w:lang w:val="en-US"/>
        </w:rPr>
        <w:t>did</w:t>
      </w:r>
      <w:r w:rsidR="008D7491" w:rsidRPr="00533D7F">
        <w:rPr>
          <w:rStyle w:val="Accentuation"/>
          <w:rFonts w:asciiTheme="minorHAnsi" w:hAnsiTheme="minorHAnsi" w:cstheme="minorHAnsi"/>
          <w:i w:val="0"/>
          <w:iCs w:val="0"/>
          <w:color w:val="000000" w:themeColor="text1"/>
          <w:lang w:val="en-US"/>
        </w:rPr>
        <w:t xml:space="preserve"> establish a hierarchy between human rights protection and cooperation in criminal matters, favoring the former over the latter, it did not, however, </w:t>
      </w:r>
      <w:r w:rsidR="00432EFC" w:rsidRPr="00533D7F">
        <w:rPr>
          <w:rStyle w:val="Accentuation"/>
          <w:rFonts w:asciiTheme="minorHAnsi" w:hAnsiTheme="minorHAnsi" w:cstheme="minorHAnsi"/>
          <w:i w:val="0"/>
          <w:iCs w:val="0"/>
          <w:color w:val="000000" w:themeColor="text1"/>
          <w:lang w:val="en-US"/>
        </w:rPr>
        <w:t>create</w:t>
      </w:r>
      <w:r w:rsidR="008D7491" w:rsidRPr="00533D7F">
        <w:rPr>
          <w:rStyle w:val="Accentuation"/>
          <w:rFonts w:asciiTheme="minorHAnsi" w:hAnsiTheme="minorHAnsi" w:cstheme="minorHAnsi"/>
          <w:i w:val="0"/>
          <w:iCs w:val="0"/>
          <w:color w:val="000000" w:themeColor="text1"/>
          <w:lang w:val="en-US"/>
        </w:rPr>
        <w:t xml:space="preserve"> clear</w:t>
      </w:r>
      <w:r w:rsidR="007775A0">
        <w:rPr>
          <w:rStyle w:val="Accentuation"/>
          <w:rFonts w:asciiTheme="minorHAnsi" w:hAnsiTheme="minorHAnsi" w:cstheme="minorHAnsi"/>
          <w:i w:val="0"/>
          <w:iCs w:val="0"/>
          <w:color w:val="000000" w:themeColor="text1"/>
          <w:lang w:val="en-US"/>
        </w:rPr>
        <w:t xml:space="preserve"> and</w:t>
      </w:r>
      <w:r w:rsidR="003431A1">
        <w:rPr>
          <w:rStyle w:val="Accentuation"/>
          <w:rFonts w:asciiTheme="minorHAnsi" w:hAnsiTheme="minorHAnsi" w:cstheme="minorHAnsi"/>
          <w:i w:val="0"/>
          <w:iCs w:val="0"/>
          <w:color w:val="000000" w:themeColor="text1"/>
          <w:lang w:val="en-US"/>
        </w:rPr>
        <w:t xml:space="preserve"> </w:t>
      </w:r>
      <w:r w:rsidR="00E540AA">
        <w:rPr>
          <w:rStyle w:val="Accentuation"/>
          <w:rFonts w:asciiTheme="minorHAnsi" w:hAnsiTheme="minorHAnsi" w:cstheme="minorHAnsi"/>
          <w:i w:val="0"/>
          <w:iCs w:val="0"/>
          <w:color w:val="000000" w:themeColor="text1"/>
          <w:lang w:val="en-US"/>
        </w:rPr>
        <w:t xml:space="preserve">unequivocal </w:t>
      </w:r>
      <w:r w:rsidR="00564954">
        <w:rPr>
          <w:rStyle w:val="Accentuation"/>
          <w:rFonts w:asciiTheme="minorHAnsi" w:hAnsiTheme="minorHAnsi" w:cstheme="minorHAnsi"/>
          <w:i w:val="0"/>
          <w:iCs w:val="0"/>
          <w:color w:val="000000" w:themeColor="text1"/>
          <w:lang w:val="en-US"/>
        </w:rPr>
        <w:t>human rights</w:t>
      </w:r>
      <w:r w:rsidR="00564954" w:rsidRPr="00533D7F">
        <w:rPr>
          <w:rStyle w:val="Accentuation"/>
          <w:rFonts w:asciiTheme="minorHAnsi" w:hAnsiTheme="minorHAnsi" w:cstheme="minorHAnsi"/>
          <w:i w:val="0"/>
          <w:iCs w:val="0"/>
          <w:color w:val="000000" w:themeColor="text1"/>
          <w:lang w:val="en-US"/>
        </w:rPr>
        <w:t xml:space="preserve"> </w:t>
      </w:r>
      <w:r w:rsidR="00CC1D57" w:rsidRPr="00533D7F">
        <w:rPr>
          <w:rStyle w:val="Accentuation"/>
          <w:rFonts w:asciiTheme="minorHAnsi" w:hAnsiTheme="minorHAnsi" w:cstheme="minorHAnsi"/>
          <w:i w:val="0"/>
          <w:iCs w:val="0"/>
          <w:color w:val="000000" w:themeColor="text1"/>
          <w:lang w:val="en-US"/>
        </w:rPr>
        <w:t>standards</w:t>
      </w:r>
      <w:r w:rsidR="007D5269" w:rsidRPr="00533D7F">
        <w:rPr>
          <w:rStyle w:val="Accentuation"/>
          <w:rFonts w:asciiTheme="minorHAnsi" w:hAnsiTheme="minorHAnsi" w:cstheme="minorHAnsi"/>
          <w:i w:val="0"/>
          <w:iCs w:val="0"/>
          <w:color w:val="000000" w:themeColor="text1"/>
          <w:lang w:val="en-US"/>
        </w:rPr>
        <w:t xml:space="preserve"> </w:t>
      </w:r>
      <w:r w:rsidR="00E540AA">
        <w:rPr>
          <w:rStyle w:val="Accentuation"/>
          <w:rFonts w:asciiTheme="minorHAnsi" w:hAnsiTheme="minorHAnsi" w:cstheme="minorHAnsi"/>
          <w:i w:val="0"/>
          <w:iCs w:val="0"/>
          <w:color w:val="000000" w:themeColor="text1"/>
          <w:lang w:val="en-US"/>
        </w:rPr>
        <w:t>to be applied in cooperation in criminal matters</w:t>
      </w:r>
      <w:r w:rsidR="008D7491" w:rsidRPr="00533D7F">
        <w:rPr>
          <w:rStyle w:val="Accentuation"/>
          <w:rFonts w:asciiTheme="minorHAnsi" w:hAnsiTheme="minorHAnsi" w:cstheme="minorHAnsi"/>
          <w:i w:val="0"/>
          <w:iCs w:val="0"/>
          <w:color w:val="000000" w:themeColor="text1"/>
          <w:lang w:val="en-US"/>
        </w:rPr>
        <w:t xml:space="preserve">. </w:t>
      </w:r>
      <w:r w:rsidR="001B5834" w:rsidRPr="00533D7F">
        <w:rPr>
          <w:rStyle w:val="Accentuation"/>
          <w:rFonts w:asciiTheme="minorHAnsi" w:hAnsiTheme="minorHAnsi" w:cstheme="minorHAnsi"/>
          <w:i w:val="0"/>
          <w:iCs w:val="0"/>
          <w:color w:val="000000" w:themeColor="text1"/>
          <w:lang w:val="en-US"/>
        </w:rPr>
        <w:t xml:space="preserve">The net result of </w:t>
      </w:r>
      <w:proofErr w:type="spellStart"/>
      <w:r w:rsidR="001B5834" w:rsidRPr="00533D7F">
        <w:rPr>
          <w:rStyle w:val="Accentuation"/>
          <w:rFonts w:asciiTheme="minorHAnsi" w:hAnsiTheme="minorHAnsi" w:cstheme="minorHAnsi"/>
          <w:color w:val="000000" w:themeColor="text1"/>
          <w:lang w:val="en-US"/>
        </w:rPr>
        <w:t>Soering</w:t>
      </w:r>
      <w:proofErr w:type="spellEnd"/>
      <w:r w:rsidR="001B5834" w:rsidRPr="00533D7F">
        <w:rPr>
          <w:rStyle w:val="Accentuation"/>
          <w:rFonts w:asciiTheme="minorHAnsi" w:hAnsiTheme="minorHAnsi" w:cstheme="minorHAnsi"/>
          <w:color w:val="000000" w:themeColor="text1"/>
          <w:lang w:val="en-US"/>
        </w:rPr>
        <w:t xml:space="preserve"> </w:t>
      </w:r>
      <w:r w:rsidR="001B5834" w:rsidRPr="00533D7F">
        <w:rPr>
          <w:rStyle w:val="Accentuation"/>
          <w:rFonts w:asciiTheme="minorHAnsi" w:hAnsiTheme="minorHAnsi" w:cstheme="minorHAnsi"/>
          <w:i w:val="0"/>
          <w:iCs w:val="0"/>
          <w:color w:val="000000" w:themeColor="text1"/>
          <w:lang w:val="en-US"/>
        </w:rPr>
        <w:t xml:space="preserve">is a balancing act: allowing cooperation between states (even non-European states), while excluding actions that could </w:t>
      </w:r>
      <w:r w:rsidR="0094448C">
        <w:rPr>
          <w:rStyle w:val="Accentuation"/>
          <w:rFonts w:asciiTheme="minorHAnsi" w:hAnsiTheme="minorHAnsi" w:cstheme="minorHAnsi"/>
          <w:i w:val="0"/>
          <w:iCs w:val="0"/>
          <w:color w:val="000000" w:themeColor="text1"/>
          <w:lang w:val="en-US"/>
        </w:rPr>
        <w:t>result in</w:t>
      </w:r>
      <w:r w:rsidR="0094448C" w:rsidRPr="00533D7F">
        <w:rPr>
          <w:rStyle w:val="Accentuation"/>
          <w:rFonts w:asciiTheme="minorHAnsi" w:hAnsiTheme="minorHAnsi" w:cstheme="minorHAnsi"/>
          <w:i w:val="0"/>
          <w:iCs w:val="0"/>
          <w:color w:val="000000" w:themeColor="text1"/>
          <w:lang w:val="en-US"/>
        </w:rPr>
        <w:t xml:space="preserve"> </w:t>
      </w:r>
      <w:r w:rsidR="001B5834" w:rsidRPr="00533D7F">
        <w:rPr>
          <w:rStyle w:val="Accentuation"/>
          <w:rFonts w:asciiTheme="minorHAnsi" w:hAnsiTheme="minorHAnsi" w:cstheme="minorHAnsi"/>
          <w:color w:val="000000" w:themeColor="text1"/>
          <w:lang w:val="en-US"/>
        </w:rPr>
        <w:t xml:space="preserve">flagrant </w:t>
      </w:r>
      <w:r w:rsidR="001B5834" w:rsidRPr="00533D7F">
        <w:rPr>
          <w:rStyle w:val="Accentuation"/>
          <w:rFonts w:asciiTheme="minorHAnsi" w:hAnsiTheme="minorHAnsi" w:cstheme="minorHAnsi"/>
          <w:i w:val="0"/>
          <w:iCs w:val="0"/>
          <w:color w:val="000000" w:themeColor="text1"/>
          <w:lang w:val="en-US"/>
        </w:rPr>
        <w:t xml:space="preserve">violations of </w:t>
      </w:r>
      <w:r w:rsidR="001B5834" w:rsidRPr="00533D7F">
        <w:rPr>
          <w:rStyle w:val="Accentuation"/>
          <w:rFonts w:asciiTheme="minorHAnsi" w:hAnsiTheme="minorHAnsi" w:cstheme="minorHAnsi"/>
          <w:color w:val="000000" w:themeColor="text1"/>
          <w:lang w:val="en-US"/>
        </w:rPr>
        <w:t xml:space="preserve">some </w:t>
      </w:r>
      <w:r w:rsidR="001B5834" w:rsidRPr="00533D7F">
        <w:rPr>
          <w:rStyle w:val="Accentuation"/>
          <w:rFonts w:asciiTheme="minorHAnsi" w:hAnsiTheme="minorHAnsi" w:cstheme="minorHAnsi"/>
          <w:i w:val="0"/>
          <w:iCs w:val="0"/>
          <w:color w:val="000000" w:themeColor="text1"/>
          <w:lang w:val="en-US"/>
        </w:rPr>
        <w:t xml:space="preserve">very important human rights. </w:t>
      </w:r>
      <w:r w:rsidR="004A659B" w:rsidRPr="00533D7F">
        <w:rPr>
          <w:rStyle w:val="Accentuation"/>
          <w:rFonts w:asciiTheme="minorHAnsi" w:hAnsiTheme="minorHAnsi" w:cstheme="minorHAnsi"/>
          <w:i w:val="0"/>
          <w:iCs w:val="0"/>
          <w:color w:val="000000" w:themeColor="text1"/>
          <w:lang w:val="en-US"/>
        </w:rPr>
        <w:t>The</w:t>
      </w:r>
      <w:r w:rsidR="00960219" w:rsidRPr="00533D7F">
        <w:rPr>
          <w:rStyle w:val="Accentuation"/>
          <w:rFonts w:asciiTheme="minorHAnsi" w:hAnsiTheme="minorHAnsi" w:cstheme="minorHAnsi"/>
          <w:i w:val="0"/>
          <w:iCs w:val="0"/>
          <w:color w:val="000000" w:themeColor="text1"/>
          <w:lang w:val="en-US"/>
        </w:rPr>
        <w:t xml:space="preserve"> mere</w:t>
      </w:r>
      <w:r w:rsidR="004A659B" w:rsidRPr="00533D7F">
        <w:rPr>
          <w:rStyle w:val="Accentuation"/>
          <w:rFonts w:asciiTheme="minorHAnsi" w:hAnsiTheme="minorHAnsi" w:cstheme="minorHAnsi"/>
          <w:i w:val="0"/>
          <w:iCs w:val="0"/>
          <w:color w:val="000000" w:themeColor="text1"/>
          <w:lang w:val="en-US"/>
        </w:rPr>
        <w:t xml:space="preserve"> fact that</w:t>
      </w:r>
      <w:r w:rsidR="00960219" w:rsidRPr="00533D7F">
        <w:rPr>
          <w:rStyle w:val="Accentuation"/>
          <w:rFonts w:asciiTheme="minorHAnsi" w:hAnsiTheme="minorHAnsi" w:cstheme="minorHAnsi"/>
          <w:i w:val="0"/>
          <w:iCs w:val="0"/>
          <w:color w:val="000000" w:themeColor="text1"/>
          <w:lang w:val="en-US"/>
        </w:rPr>
        <w:t xml:space="preserve"> this balance exists also enabled the </w:t>
      </w:r>
      <w:r w:rsidR="0093567D" w:rsidRPr="00533D7F">
        <w:rPr>
          <w:rStyle w:val="Accentuation"/>
          <w:rFonts w:asciiTheme="minorHAnsi" w:hAnsiTheme="minorHAnsi" w:cstheme="minorHAnsi"/>
          <w:i w:val="0"/>
          <w:iCs w:val="0"/>
          <w:color w:val="000000" w:themeColor="text1"/>
          <w:lang w:val="en-US"/>
        </w:rPr>
        <w:t xml:space="preserve">Court to </w:t>
      </w:r>
      <w:r w:rsidR="007D5269" w:rsidRPr="00533D7F">
        <w:rPr>
          <w:rStyle w:val="Accentuation"/>
          <w:rFonts w:asciiTheme="minorHAnsi" w:hAnsiTheme="minorHAnsi" w:cstheme="minorHAnsi"/>
          <w:i w:val="0"/>
          <w:iCs w:val="0"/>
          <w:color w:val="000000" w:themeColor="text1"/>
          <w:lang w:val="en-US"/>
        </w:rPr>
        <w:t xml:space="preserve">actually later </w:t>
      </w:r>
      <w:r w:rsidR="00960219" w:rsidRPr="00533D7F">
        <w:rPr>
          <w:rStyle w:val="Accentuation"/>
          <w:rFonts w:asciiTheme="minorHAnsi" w:hAnsiTheme="minorHAnsi" w:cstheme="minorHAnsi"/>
          <w:i w:val="0"/>
          <w:iCs w:val="0"/>
          <w:color w:val="000000" w:themeColor="text1"/>
          <w:lang w:val="en-US"/>
        </w:rPr>
        <w:t xml:space="preserve">turn away from the path it had initially followed, or at least to nuance it. </w:t>
      </w:r>
    </w:p>
    <w:p w14:paraId="335F6F29" w14:textId="26C538AD" w:rsidR="008D7491" w:rsidRPr="00533D7F" w:rsidRDefault="00E80998" w:rsidP="00EF5502">
      <w:pPr>
        <w:jc w:val="both"/>
        <w:rPr>
          <w:rStyle w:val="Accentuation"/>
          <w:rFonts w:asciiTheme="minorHAnsi" w:hAnsiTheme="minorHAnsi" w:cstheme="minorHAnsi"/>
          <w:i w:val="0"/>
          <w:iCs w:val="0"/>
          <w:color w:val="000000" w:themeColor="text1"/>
          <w:lang w:val="en-US"/>
        </w:rPr>
      </w:pPr>
      <w:r w:rsidRPr="00533D7F">
        <w:rPr>
          <w:rStyle w:val="Accentuation"/>
          <w:rFonts w:asciiTheme="minorHAnsi" w:hAnsiTheme="minorHAnsi" w:cstheme="minorHAnsi"/>
          <w:i w:val="0"/>
          <w:iCs w:val="0"/>
          <w:color w:val="000000" w:themeColor="text1"/>
          <w:lang w:val="en-US"/>
        </w:rPr>
        <w:t>With</w:t>
      </w:r>
      <w:r w:rsidR="00960219" w:rsidRPr="00533D7F">
        <w:rPr>
          <w:rStyle w:val="Accentuation"/>
          <w:rFonts w:asciiTheme="minorHAnsi" w:hAnsiTheme="minorHAnsi" w:cstheme="minorHAnsi"/>
          <w:i w:val="0"/>
          <w:iCs w:val="0"/>
          <w:color w:val="000000" w:themeColor="text1"/>
          <w:lang w:val="en-US"/>
        </w:rPr>
        <w:t xml:space="preserve"> </w:t>
      </w:r>
      <w:proofErr w:type="spellStart"/>
      <w:r w:rsidR="00960219" w:rsidRPr="00533D7F">
        <w:rPr>
          <w:rFonts w:asciiTheme="minorHAnsi" w:hAnsiTheme="minorHAnsi" w:cstheme="minorHAnsi"/>
          <w:i/>
          <w:iCs/>
          <w:lang w:val="en-US" w:eastAsia="en-US"/>
        </w:rPr>
        <w:t>Güzelyurtlu</w:t>
      </w:r>
      <w:proofErr w:type="spellEnd"/>
      <w:r w:rsidR="00960219" w:rsidRPr="00533D7F">
        <w:rPr>
          <w:rFonts w:asciiTheme="minorHAnsi" w:hAnsiTheme="minorHAnsi" w:cstheme="minorHAnsi"/>
          <w:i/>
          <w:iCs/>
          <w:lang w:val="en-US" w:eastAsia="en-US"/>
        </w:rPr>
        <w:t xml:space="preserve"> </w:t>
      </w:r>
      <w:r w:rsidR="00960219" w:rsidRPr="00533D7F">
        <w:rPr>
          <w:rFonts w:asciiTheme="minorHAnsi" w:hAnsiTheme="minorHAnsi" w:cstheme="minorHAnsi"/>
          <w:lang w:val="en-US" w:eastAsia="en-US"/>
        </w:rPr>
        <w:t xml:space="preserve">and </w:t>
      </w:r>
      <w:proofErr w:type="spellStart"/>
      <w:r w:rsidR="00960219" w:rsidRPr="007175ED">
        <w:rPr>
          <w:rFonts w:asciiTheme="minorHAnsi" w:hAnsiTheme="minorHAnsi" w:cstheme="minorHAnsi"/>
          <w:i/>
          <w:iCs/>
          <w:lang w:val="en-US" w:eastAsia="en-US"/>
        </w:rPr>
        <w:t>Cast</w:t>
      </w:r>
      <w:r w:rsidR="00960219" w:rsidRPr="00650689">
        <w:rPr>
          <w:rFonts w:asciiTheme="minorHAnsi" w:hAnsiTheme="minorHAnsi"/>
          <w:i/>
          <w:lang w:val="en-US"/>
        </w:rPr>
        <w:t>a</w:t>
      </w:r>
      <w:r w:rsidR="00960219" w:rsidRPr="007175ED">
        <w:rPr>
          <w:rStyle w:val="Accentuation"/>
          <w:rFonts w:asciiTheme="minorHAnsi" w:hAnsiTheme="minorHAnsi" w:cstheme="minorHAnsi"/>
          <w:color w:val="000000" w:themeColor="text1"/>
          <w:lang w:val="en-US"/>
        </w:rPr>
        <w:t>ño</w:t>
      </w:r>
      <w:proofErr w:type="spellEnd"/>
      <w:r w:rsidRPr="00533D7F">
        <w:rPr>
          <w:rStyle w:val="Accentuation"/>
          <w:rFonts w:asciiTheme="minorHAnsi" w:hAnsiTheme="minorHAnsi" w:cstheme="minorHAnsi"/>
          <w:i w:val="0"/>
          <w:iCs w:val="0"/>
          <w:color w:val="000000" w:themeColor="text1"/>
          <w:lang w:val="en-US"/>
        </w:rPr>
        <w:t>, for example</w:t>
      </w:r>
      <w:r w:rsidR="00960219" w:rsidRPr="00533D7F">
        <w:rPr>
          <w:rStyle w:val="Accentuation"/>
          <w:rFonts w:asciiTheme="minorHAnsi" w:hAnsiTheme="minorHAnsi" w:cstheme="minorHAnsi"/>
          <w:i w:val="0"/>
          <w:iCs w:val="0"/>
          <w:color w:val="000000" w:themeColor="text1"/>
          <w:lang w:val="en-US"/>
        </w:rPr>
        <w:t>, the Court has effectively established a</w:t>
      </w:r>
      <w:r w:rsidR="00CF0BE4">
        <w:rPr>
          <w:rStyle w:val="Accentuation"/>
          <w:rFonts w:asciiTheme="minorHAnsi" w:hAnsiTheme="minorHAnsi" w:cstheme="minorHAnsi"/>
          <w:i w:val="0"/>
          <w:iCs w:val="0"/>
          <w:color w:val="000000" w:themeColor="text1"/>
          <w:lang w:val="en-US"/>
        </w:rPr>
        <w:t xml:space="preserve"> positive</w:t>
      </w:r>
      <w:r w:rsidR="00960219" w:rsidRPr="00533D7F">
        <w:rPr>
          <w:rStyle w:val="Accentuation"/>
          <w:rFonts w:asciiTheme="minorHAnsi" w:hAnsiTheme="minorHAnsi" w:cstheme="minorHAnsi"/>
          <w:i w:val="0"/>
          <w:iCs w:val="0"/>
          <w:color w:val="000000" w:themeColor="text1"/>
          <w:lang w:val="en-US"/>
        </w:rPr>
        <w:t xml:space="preserve"> obligation for States to cooperate</w:t>
      </w:r>
      <w:r w:rsidR="00CF0BE4">
        <w:rPr>
          <w:rStyle w:val="Accentuation"/>
          <w:rFonts w:asciiTheme="minorHAnsi" w:hAnsiTheme="minorHAnsi" w:cstheme="minorHAnsi"/>
          <w:i w:val="0"/>
          <w:iCs w:val="0"/>
          <w:color w:val="000000" w:themeColor="text1"/>
          <w:lang w:val="en-US"/>
        </w:rPr>
        <w:t xml:space="preserve"> flowing from the duty to respect fundamental rights.</w:t>
      </w:r>
      <w:r w:rsidR="00960219" w:rsidRPr="00533D7F">
        <w:rPr>
          <w:rStyle w:val="Accentuation"/>
          <w:rFonts w:asciiTheme="minorHAnsi" w:hAnsiTheme="minorHAnsi" w:cstheme="minorHAnsi"/>
          <w:i w:val="0"/>
          <w:iCs w:val="0"/>
          <w:color w:val="000000" w:themeColor="text1"/>
          <w:lang w:val="en-US"/>
        </w:rPr>
        <w:t xml:space="preserve"> Here, the rationale</w:t>
      </w:r>
      <w:r w:rsidR="0010037D">
        <w:rPr>
          <w:rStyle w:val="Accentuation"/>
          <w:rFonts w:asciiTheme="minorHAnsi" w:hAnsiTheme="minorHAnsi" w:cstheme="minorHAnsi"/>
          <w:i w:val="0"/>
          <w:iCs w:val="0"/>
          <w:color w:val="000000" w:themeColor="text1"/>
          <w:lang w:val="en-US"/>
        </w:rPr>
        <w:t xml:space="preserve"> </w:t>
      </w:r>
      <w:r w:rsidR="007719DB" w:rsidRPr="00533D7F">
        <w:rPr>
          <w:rStyle w:val="Accentuation"/>
          <w:rFonts w:asciiTheme="minorHAnsi" w:hAnsiTheme="minorHAnsi" w:cstheme="minorHAnsi"/>
          <w:i w:val="0"/>
          <w:iCs w:val="0"/>
          <w:color w:val="000000" w:themeColor="text1"/>
          <w:lang w:val="en-US"/>
        </w:rPr>
        <w:t>is very much different than</w:t>
      </w:r>
      <w:r w:rsidR="00960219" w:rsidRPr="00533D7F">
        <w:rPr>
          <w:rStyle w:val="Accentuation"/>
          <w:rFonts w:asciiTheme="minorHAnsi" w:hAnsiTheme="minorHAnsi" w:cstheme="minorHAnsi"/>
          <w:i w:val="0"/>
          <w:iCs w:val="0"/>
          <w:color w:val="000000" w:themeColor="text1"/>
          <w:lang w:val="en-US"/>
        </w:rPr>
        <w:t xml:space="preserve"> the one </w:t>
      </w:r>
      <w:r w:rsidR="007719DB" w:rsidRPr="00533D7F">
        <w:rPr>
          <w:rStyle w:val="Accentuation"/>
          <w:rFonts w:asciiTheme="minorHAnsi" w:hAnsiTheme="minorHAnsi" w:cstheme="minorHAnsi"/>
          <w:i w:val="0"/>
          <w:iCs w:val="0"/>
          <w:color w:val="000000" w:themeColor="text1"/>
          <w:lang w:val="en-US"/>
        </w:rPr>
        <w:t>followed in</w:t>
      </w:r>
      <w:r w:rsidR="00960219" w:rsidRPr="00533D7F">
        <w:rPr>
          <w:rStyle w:val="Accentuation"/>
          <w:rFonts w:asciiTheme="minorHAnsi" w:hAnsiTheme="minorHAnsi" w:cstheme="minorHAnsi"/>
          <w:i w:val="0"/>
          <w:iCs w:val="0"/>
          <w:color w:val="000000" w:themeColor="text1"/>
          <w:lang w:val="en-US"/>
        </w:rPr>
        <w:t xml:space="preserve"> </w:t>
      </w:r>
      <w:proofErr w:type="spellStart"/>
      <w:r w:rsidR="00960219" w:rsidRPr="00533D7F">
        <w:rPr>
          <w:rStyle w:val="Accentuation"/>
          <w:rFonts w:asciiTheme="minorHAnsi" w:hAnsiTheme="minorHAnsi" w:cstheme="minorHAnsi"/>
          <w:color w:val="000000" w:themeColor="text1"/>
          <w:lang w:val="en-US"/>
        </w:rPr>
        <w:t>Soering</w:t>
      </w:r>
      <w:proofErr w:type="spellEnd"/>
      <w:r w:rsidR="00960219" w:rsidRPr="00533D7F">
        <w:rPr>
          <w:rStyle w:val="Accentuation"/>
          <w:rFonts w:asciiTheme="minorHAnsi" w:hAnsiTheme="minorHAnsi" w:cstheme="minorHAnsi"/>
          <w:i w:val="0"/>
          <w:iCs w:val="0"/>
          <w:color w:val="000000" w:themeColor="text1"/>
          <w:lang w:val="en-US"/>
        </w:rPr>
        <w:t xml:space="preserve"> because</w:t>
      </w:r>
      <w:r w:rsidR="0010037D">
        <w:rPr>
          <w:rStyle w:val="Accentuation"/>
          <w:rFonts w:asciiTheme="minorHAnsi" w:hAnsiTheme="minorHAnsi" w:cstheme="minorHAnsi"/>
          <w:i w:val="0"/>
          <w:iCs w:val="0"/>
          <w:color w:val="000000" w:themeColor="text1"/>
          <w:lang w:val="en-US"/>
        </w:rPr>
        <w:t>,</w:t>
      </w:r>
      <w:r w:rsidR="00960219" w:rsidRPr="00533D7F">
        <w:rPr>
          <w:rStyle w:val="Accentuation"/>
          <w:rFonts w:asciiTheme="minorHAnsi" w:hAnsiTheme="minorHAnsi" w:cstheme="minorHAnsi"/>
          <w:i w:val="0"/>
          <w:iCs w:val="0"/>
          <w:color w:val="000000" w:themeColor="text1"/>
          <w:lang w:val="en-US"/>
        </w:rPr>
        <w:t xml:space="preserve"> </w:t>
      </w:r>
      <w:r w:rsidR="00BC6E94" w:rsidRPr="00533D7F">
        <w:rPr>
          <w:rStyle w:val="Accentuation"/>
          <w:rFonts w:asciiTheme="minorHAnsi" w:hAnsiTheme="minorHAnsi" w:cstheme="minorHAnsi"/>
          <w:i w:val="0"/>
          <w:iCs w:val="0"/>
          <w:color w:val="000000" w:themeColor="text1"/>
          <w:lang w:val="en-US"/>
        </w:rPr>
        <w:t>while in the latter</w:t>
      </w:r>
      <w:r w:rsidR="00960219" w:rsidRPr="00533D7F">
        <w:rPr>
          <w:rStyle w:val="Accentuation"/>
          <w:rFonts w:asciiTheme="minorHAnsi" w:hAnsiTheme="minorHAnsi" w:cstheme="minorHAnsi"/>
          <w:i w:val="0"/>
          <w:iCs w:val="0"/>
          <w:color w:val="000000" w:themeColor="text1"/>
          <w:lang w:val="en-US"/>
        </w:rPr>
        <w:t xml:space="preserve"> human rights were </w:t>
      </w:r>
      <w:proofErr w:type="spellStart"/>
      <w:r w:rsidR="00960219" w:rsidRPr="00533D7F">
        <w:rPr>
          <w:rStyle w:val="Accentuation"/>
          <w:rFonts w:asciiTheme="minorHAnsi" w:hAnsiTheme="minorHAnsi" w:cstheme="minorHAnsi"/>
          <w:i w:val="0"/>
          <w:iCs w:val="0"/>
          <w:color w:val="000000" w:themeColor="text1"/>
          <w:lang w:val="en-US"/>
        </w:rPr>
        <w:t>prioriti</w:t>
      </w:r>
      <w:r w:rsidR="00BC6E94" w:rsidRPr="00533D7F">
        <w:rPr>
          <w:rStyle w:val="Accentuation"/>
          <w:rFonts w:asciiTheme="minorHAnsi" w:hAnsiTheme="minorHAnsi" w:cstheme="minorHAnsi"/>
          <w:i w:val="0"/>
          <w:iCs w:val="0"/>
          <w:color w:val="000000" w:themeColor="text1"/>
          <w:lang w:val="en-US"/>
        </w:rPr>
        <w:t>s</w:t>
      </w:r>
      <w:r w:rsidR="00960219" w:rsidRPr="00533D7F">
        <w:rPr>
          <w:rStyle w:val="Accentuation"/>
          <w:rFonts w:asciiTheme="minorHAnsi" w:hAnsiTheme="minorHAnsi" w:cstheme="minorHAnsi"/>
          <w:i w:val="0"/>
          <w:iCs w:val="0"/>
          <w:color w:val="000000" w:themeColor="text1"/>
          <w:lang w:val="en-US"/>
        </w:rPr>
        <w:t>ed</w:t>
      </w:r>
      <w:proofErr w:type="spellEnd"/>
      <w:r w:rsidR="00960219" w:rsidRPr="00533D7F">
        <w:rPr>
          <w:rStyle w:val="Accentuation"/>
          <w:rFonts w:asciiTheme="minorHAnsi" w:hAnsiTheme="minorHAnsi" w:cstheme="minorHAnsi"/>
          <w:i w:val="0"/>
          <w:iCs w:val="0"/>
          <w:color w:val="000000" w:themeColor="text1"/>
          <w:lang w:val="en-US"/>
        </w:rPr>
        <w:t xml:space="preserve"> over cooperation, with </w:t>
      </w:r>
      <w:proofErr w:type="spellStart"/>
      <w:r w:rsidR="00960219" w:rsidRPr="00533D7F">
        <w:rPr>
          <w:rFonts w:asciiTheme="minorHAnsi" w:hAnsiTheme="minorHAnsi" w:cstheme="minorHAnsi"/>
          <w:i/>
          <w:iCs/>
          <w:lang w:val="en-US" w:eastAsia="en-US"/>
        </w:rPr>
        <w:t>Güzelyurtlu</w:t>
      </w:r>
      <w:proofErr w:type="spellEnd"/>
      <w:r w:rsidR="00960219" w:rsidRPr="00533D7F">
        <w:rPr>
          <w:rFonts w:asciiTheme="minorHAnsi" w:hAnsiTheme="minorHAnsi" w:cstheme="minorHAnsi"/>
          <w:lang w:val="en-US" w:eastAsia="en-US"/>
        </w:rPr>
        <w:t xml:space="preserve"> and </w:t>
      </w:r>
      <w:proofErr w:type="spellStart"/>
      <w:r w:rsidR="00960219" w:rsidRPr="0010037D">
        <w:rPr>
          <w:rFonts w:asciiTheme="minorHAnsi" w:hAnsiTheme="minorHAnsi" w:cstheme="minorHAnsi"/>
          <w:i/>
          <w:iCs/>
          <w:lang w:val="en-US" w:eastAsia="en-US"/>
        </w:rPr>
        <w:t>Casta</w:t>
      </w:r>
      <w:r w:rsidR="00960219" w:rsidRPr="00650689">
        <w:rPr>
          <w:rStyle w:val="Accentuation"/>
          <w:rFonts w:asciiTheme="minorHAnsi" w:hAnsiTheme="minorHAnsi"/>
          <w:color w:val="000000" w:themeColor="text1"/>
          <w:lang w:val="en-US"/>
        </w:rPr>
        <w:t>ño</w:t>
      </w:r>
      <w:proofErr w:type="spellEnd"/>
      <w:r w:rsidR="00960219" w:rsidRPr="00533D7F">
        <w:rPr>
          <w:rStyle w:val="Accentuation"/>
          <w:rFonts w:asciiTheme="minorHAnsi" w:hAnsiTheme="minorHAnsi" w:cstheme="minorHAnsi"/>
          <w:i w:val="0"/>
          <w:iCs w:val="0"/>
          <w:color w:val="000000" w:themeColor="text1"/>
          <w:lang w:val="en-US"/>
        </w:rPr>
        <w:t>, the logic followed by the Court is one where cooperation will enable human rights protection</w:t>
      </w:r>
      <w:r w:rsidR="00B756DD" w:rsidRPr="00533D7F">
        <w:rPr>
          <w:rStyle w:val="Accentuation"/>
          <w:rFonts w:asciiTheme="minorHAnsi" w:hAnsiTheme="minorHAnsi" w:cstheme="minorHAnsi"/>
          <w:i w:val="0"/>
          <w:iCs w:val="0"/>
          <w:color w:val="000000" w:themeColor="text1"/>
          <w:lang w:val="en-US"/>
        </w:rPr>
        <w:t>.</w:t>
      </w:r>
      <w:r w:rsidR="00653EEE">
        <w:rPr>
          <w:rStyle w:val="Accentuation"/>
          <w:rFonts w:asciiTheme="minorHAnsi" w:hAnsiTheme="minorHAnsi" w:cstheme="minorHAnsi"/>
          <w:i w:val="0"/>
          <w:iCs w:val="0"/>
          <w:color w:val="000000" w:themeColor="text1"/>
          <w:lang w:val="en-US"/>
        </w:rPr>
        <w:t xml:space="preserve"> The argument of the Court is that cooperation is necessary to protect human rights. </w:t>
      </w:r>
      <w:r w:rsidR="00767063">
        <w:rPr>
          <w:rStyle w:val="Accentuation"/>
          <w:rFonts w:asciiTheme="minorHAnsi" w:hAnsiTheme="minorHAnsi" w:cstheme="minorHAnsi"/>
          <w:i w:val="0"/>
          <w:iCs w:val="0"/>
          <w:color w:val="000000" w:themeColor="text1"/>
          <w:lang w:val="en-US"/>
        </w:rPr>
        <w:t>The</w:t>
      </w:r>
      <w:r w:rsidR="00653EEE">
        <w:rPr>
          <w:rStyle w:val="Accentuation"/>
          <w:rFonts w:asciiTheme="minorHAnsi" w:hAnsiTheme="minorHAnsi" w:cstheme="minorHAnsi"/>
          <w:i w:val="0"/>
          <w:iCs w:val="0"/>
          <w:color w:val="000000" w:themeColor="text1"/>
          <w:lang w:val="en-US"/>
        </w:rPr>
        <w:t xml:space="preserve"> most cynical could</w:t>
      </w:r>
      <w:r w:rsidR="00767063">
        <w:rPr>
          <w:rStyle w:val="Accentuation"/>
          <w:rFonts w:asciiTheme="minorHAnsi" w:hAnsiTheme="minorHAnsi" w:cstheme="minorHAnsi"/>
          <w:i w:val="0"/>
          <w:iCs w:val="0"/>
          <w:color w:val="000000" w:themeColor="text1"/>
          <w:lang w:val="en-US"/>
        </w:rPr>
        <w:t xml:space="preserve"> even</w:t>
      </w:r>
      <w:r w:rsidR="00653EEE">
        <w:rPr>
          <w:rStyle w:val="Accentuation"/>
          <w:rFonts w:asciiTheme="minorHAnsi" w:hAnsiTheme="minorHAnsi" w:cstheme="minorHAnsi"/>
          <w:i w:val="0"/>
          <w:iCs w:val="0"/>
          <w:color w:val="000000" w:themeColor="text1"/>
          <w:lang w:val="en-US"/>
        </w:rPr>
        <w:t xml:space="preserve"> say that</w:t>
      </w:r>
      <w:r w:rsidR="00362EEF">
        <w:rPr>
          <w:rStyle w:val="Accentuation"/>
          <w:rFonts w:asciiTheme="minorHAnsi" w:hAnsiTheme="minorHAnsi" w:cstheme="minorHAnsi"/>
          <w:i w:val="0"/>
          <w:iCs w:val="0"/>
          <w:color w:val="000000" w:themeColor="text1"/>
          <w:lang w:val="en-US"/>
        </w:rPr>
        <w:t>,</w:t>
      </w:r>
      <w:r w:rsidR="00653EEE">
        <w:rPr>
          <w:rStyle w:val="Accentuation"/>
          <w:rFonts w:asciiTheme="minorHAnsi" w:hAnsiTheme="minorHAnsi" w:cstheme="minorHAnsi"/>
          <w:i w:val="0"/>
          <w:iCs w:val="0"/>
          <w:color w:val="000000" w:themeColor="text1"/>
          <w:lang w:val="en-US"/>
        </w:rPr>
        <w:t xml:space="preserve"> </w:t>
      </w:r>
      <w:r w:rsidR="00D54D8D">
        <w:rPr>
          <w:rStyle w:val="Accentuation"/>
          <w:rFonts w:asciiTheme="minorHAnsi" w:hAnsiTheme="minorHAnsi" w:cstheme="minorHAnsi"/>
          <w:i w:val="0"/>
          <w:iCs w:val="0"/>
          <w:color w:val="000000" w:themeColor="text1"/>
          <w:lang w:val="en-US"/>
        </w:rPr>
        <w:t>h</w:t>
      </w:r>
      <w:r w:rsidR="00E6242C">
        <w:rPr>
          <w:rStyle w:val="Accentuation"/>
          <w:rFonts w:asciiTheme="minorHAnsi" w:hAnsiTheme="minorHAnsi" w:cstheme="minorHAnsi"/>
          <w:i w:val="0"/>
          <w:iCs w:val="0"/>
          <w:color w:val="000000" w:themeColor="text1"/>
          <w:lang w:val="en-US"/>
        </w:rPr>
        <w:t>ere</w:t>
      </w:r>
      <w:r w:rsidR="00362EEF">
        <w:rPr>
          <w:rStyle w:val="Accentuation"/>
          <w:rFonts w:asciiTheme="minorHAnsi" w:hAnsiTheme="minorHAnsi" w:cstheme="minorHAnsi"/>
          <w:i w:val="0"/>
          <w:iCs w:val="0"/>
          <w:color w:val="000000" w:themeColor="text1"/>
          <w:lang w:val="en-US"/>
        </w:rPr>
        <w:t>,</w:t>
      </w:r>
      <w:r w:rsidR="00E6242C">
        <w:rPr>
          <w:rStyle w:val="Accentuation"/>
          <w:rFonts w:asciiTheme="minorHAnsi" w:hAnsiTheme="minorHAnsi" w:cstheme="minorHAnsi"/>
          <w:i w:val="0"/>
          <w:iCs w:val="0"/>
          <w:color w:val="000000" w:themeColor="text1"/>
          <w:lang w:val="en-US"/>
        </w:rPr>
        <w:t xml:space="preserve"> </w:t>
      </w:r>
      <w:r w:rsidR="00653EEE">
        <w:rPr>
          <w:rStyle w:val="Accentuation"/>
          <w:rFonts w:asciiTheme="minorHAnsi" w:hAnsiTheme="minorHAnsi" w:cstheme="minorHAnsi"/>
          <w:i w:val="0"/>
          <w:iCs w:val="0"/>
          <w:color w:val="000000" w:themeColor="text1"/>
          <w:lang w:val="en-US"/>
        </w:rPr>
        <w:t>h</w:t>
      </w:r>
      <w:r w:rsidR="00B756DD" w:rsidRPr="00533D7F">
        <w:rPr>
          <w:rStyle w:val="Accentuation"/>
          <w:rFonts w:asciiTheme="minorHAnsi" w:hAnsiTheme="minorHAnsi" w:cstheme="minorHAnsi"/>
          <w:i w:val="0"/>
          <w:iCs w:val="0"/>
          <w:color w:val="000000" w:themeColor="text1"/>
          <w:lang w:val="en-US"/>
        </w:rPr>
        <w:t>uman rights protection is put at the service of cooperation in criminal matters.</w:t>
      </w:r>
      <w:r w:rsidR="00EF7C30">
        <w:rPr>
          <w:rStyle w:val="Accentuation"/>
          <w:rFonts w:asciiTheme="minorHAnsi" w:hAnsiTheme="minorHAnsi" w:cstheme="minorHAnsi"/>
          <w:i w:val="0"/>
          <w:iCs w:val="0"/>
          <w:color w:val="000000" w:themeColor="text1"/>
          <w:lang w:val="en-US"/>
        </w:rPr>
        <w:t xml:space="preserve"> </w:t>
      </w:r>
      <w:r w:rsidR="00EF7C30" w:rsidRPr="00653EEE">
        <w:rPr>
          <w:rStyle w:val="Accentuation"/>
          <w:rFonts w:asciiTheme="minorHAnsi" w:hAnsiTheme="minorHAnsi" w:cstheme="minorHAnsi"/>
          <w:i w:val="0"/>
          <w:iCs w:val="0"/>
          <w:color w:val="000000" w:themeColor="text1"/>
          <w:lang w:val="en-US"/>
        </w:rPr>
        <w:t xml:space="preserve">The development of a supranational judicial supervision has therefore not led to </w:t>
      </w:r>
      <w:r w:rsidR="00EF7C30">
        <w:rPr>
          <w:rStyle w:val="Accentuation"/>
          <w:rFonts w:asciiTheme="minorHAnsi" w:hAnsiTheme="minorHAnsi" w:cstheme="minorHAnsi"/>
          <w:i w:val="0"/>
          <w:iCs w:val="0"/>
          <w:color w:val="000000" w:themeColor="text1"/>
          <w:lang w:val="en-US"/>
        </w:rPr>
        <w:t xml:space="preserve">a </w:t>
      </w:r>
      <w:proofErr w:type="spellStart"/>
      <w:r w:rsidR="00EF7C30" w:rsidRPr="00653EEE">
        <w:rPr>
          <w:rStyle w:val="Accentuation"/>
          <w:rFonts w:asciiTheme="minorHAnsi" w:hAnsiTheme="minorHAnsi" w:cstheme="minorHAnsi"/>
          <w:i w:val="0"/>
          <w:iCs w:val="0"/>
          <w:color w:val="000000" w:themeColor="text1"/>
          <w:lang w:val="en-US"/>
        </w:rPr>
        <w:t>reconceptualisation</w:t>
      </w:r>
      <w:proofErr w:type="spellEnd"/>
      <w:r w:rsidR="00EF7C30" w:rsidRPr="00653EEE">
        <w:rPr>
          <w:rStyle w:val="Accentuation"/>
          <w:rFonts w:asciiTheme="minorHAnsi" w:hAnsiTheme="minorHAnsi" w:cstheme="minorHAnsi"/>
          <w:i w:val="0"/>
          <w:iCs w:val="0"/>
          <w:color w:val="000000" w:themeColor="text1"/>
          <w:lang w:val="en-US"/>
        </w:rPr>
        <w:t xml:space="preserve"> of human rights in a truly transnational space.</w:t>
      </w:r>
    </w:p>
    <w:p w14:paraId="74723598" w14:textId="5C7F0B0B" w:rsidR="00D05BBB" w:rsidRPr="00533D7F" w:rsidRDefault="00D05BBB" w:rsidP="00EF5502">
      <w:pPr>
        <w:jc w:val="both"/>
        <w:rPr>
          <w:rStyle w:val="Accentuation"/>
          <w:rFonts w:asciiTheme="minorHAnsi" w:hAnsiTheme="minorHAnsi" w:cstheme="minorHAnsi"/>
          <w:i w:val="0"/>
          <w:iCs w:val="0"/>
          <w:color w:val="000000" w:themeColor="text1"/>
          <w:lang w:val="en-US"/>
        </w:rPr>
      </w:pPr>
    </w:p>
    <w:p w14:paraId="14C32237" w14:textId="06E2FAF1" w:rsidR="00C920C6" w:rsidRDefault="00D05BBB" w:rsidP="008D761F">
      <w:pPr>
        <w:jc w:val="both"/>
        <w:rPr>
          <w:rStyle w:val="Accentuation"/>
          <w:rFonts w:asciiTheme="minorHAnsi" w:hAnsiTheme="minorHAnsi" w:cstheme="minorHAnsi"/>
          <w:i w:val="0"/>
          <w:iCs w:val="0"/>
          <w:color w:val="000000" w:themeColor="text1"/>
          <w:lang w:val="en-US"/>
        </w:rPr>
      </w:pPr>
      <w:r w:rsidRPr="00533D7F">
        <w:rPr>
          <w:rStyle w:val="Accentuation"/>
          <w:rFonts w:asciiTheme="minorHAnsi" w:hAnsiTheme="minorHAnsi" w:cstheme="minorHAnsi"/>
          <w:i w:val="0"/>
          <w:iCs w:val="0"/>
          <w:color w:val="000000" w:themeColor="text1"/>
          <w:lang w:val="en-US"/>
        </w:rPr>
        <w:t xml:space="preserve">Safeguards like the </w:t>
      </w:r>
      <w:r w:rsidRPr="00533D7F">
        <w:rPr>
          <w:rStyle w:val="Accentuation"/>
          <w:rFonts w:asciiTheme="minorHAnsi" w:hAnsiTheme="minorHAnsi" w:cstheme="minorHAnsi"/>
          <w:color w:val="000000" w:themeColor="text1"/>
          <w:lang w:val="en-US"/>
        </w:rPr>
        <w:t>ne bis in idem</w:t>
      </w:r>
      <w:r w:rsidRPr="00533D7F">
        <w:rPr>
          <w:rStyle w:val="Accentuation"/>
          <w:rFonts w:asciiTheme="minorHAnsi" w:hAnsiTheme="minorHAnsi" w:cstheme="minorHAnsi"/>
          <w:i w:val="0"/>
          <w:iCs w:val="0"/>
          <w:color w:val="000000" w:themeColor="text1"/>
          <w:lang w:val="en-US"/>
        </w:rPr>
        <w:t xml:space="preserve"> principle or the ones deriving from</w:t>
      </w:r>
      <w:r w:rsidR="003A5A26" w:rsidRPr="00533D7F">
        <w:rPr>
          <w:rStyle w:val="Accentuation"/>
          <w:rFonts w:asciiTheme="minorHAnsi" w:hAnsiTheme="minorHAnsi" w:cstheme="minorHAnsi"/>
          <w:i w:val="0"/>
          <w:iCs w:val="0"/>
          <w:color w:val="000000" w:themeColor="text1"/>
          <w:lang w:val="en-US"/>
        </w:rPr>
        <w:t xml:space="preserve"> </w:t>
      </w:r>
      <w:proofErr w:type="spellStart"/>
      <w:r w:rsidRPr="00533D7F">
        <w:rPr>
          <w:rStyle w:val="Accentuation"/>
          <w:rFonts w:asciiTheme="minorHAnsi" w:hAnsiTheme="minorHAnsi" w:cstheme="minorHAnsi"/>
          <w:color w:val="000000" w:themeColor="text1"/>
          <w:lang w:val="en-US"/>
        </w:rPr>
        <w:t>Soering</w:t>
      </w:r>
      <w:proofErr w:type="spellEnd"/>
      <w:r w:rsidR="003A5A26" w:rsidRPr="00533D7F">
        <w:rPr>
          <w:rStyle w:val="Accentuation"/>
          <w:rFonts w:asciiTheme="minorHAnsi" w:hAnsiTheme="minorHAnsi" w:cstheme="minorHAnsi"/>
          <w:i w:val="0"/>
          <w:iCs w:val="0"/>
          <w:color w:val="000000" w:themeColor="text1"/>
          <w:lang w:val="en-US"/>
        </w:rPr>
        <w:t xml:space="preserve"> (or</w:t>
      </w:r>
      <w:r w:rsidR="00BE647F">
        <w:rPr>
          <w:rStyle w:val="Accentuation"/>
          <w:rFonts w:asciiTheme="minorHAnsi" w:hAnsiTheme="minorHAnsi" w:cstheme="minorHAnsi"/>
          <w:i w:val="0"/>
          <w:iCs w:val="0"/>
          <w:color w:val="000000" w:themeColor="text1"/>
          <w:lang w:val="en-US"/>
        </w:rPr>
        <w:t>,</w:t>
      </w:r>
      <w:r w:rsidR="003A5A26" w:rsidRPr="00533D7F">
        <w:rPr>
          <w:rStyle w:val="Accentuation"/>
          <w:rFonts w:asciiTheme="minorHAnsi" w:hAnsiTheme="minorHAnsi" w:cstheme="minorHAnsi"/>
          <w:i w:val="0"/>
          <w:iCs w:val="0"/>
          <w:color w:val="000000" w:themeColor="text1"/>
          <w:lang w:val="en-US"/>
        </w:rPr>
        <w:t xml:space="preserve"> for that matter</w:t>
      </w:r>
      <w:r w:rsidR="00BE647F">
        <w:rPr>
          <w:rStyle w:val="Accentuation"/>
          <w:rFonts w:asciiTheme="minorHAnsi" w:hAnsiTheme="minorHAnsi" w:cstheme="minorHAnsi"/>
          <w:i w:val="0"/>
          <w:iCs w:val="0"/>
          <w:color w:val="000000" w:themeColor="text1"/>
          <w:lang w:val="en-US"/>
        </w:rPr>
        <w:t>,</w:t>
      </w:r>
      <w:r w:rsidR="003A5A26" w:rsidRPr="00533D7F">
        <w:rPr>
          <w:rStyle w:val="Accentuation"/>
          <w:rFonts w:asciiTheme="minorHAnsi" w:hAnsiTheme="minorHAnsi" w:cstheme="minorHAnsi"/>
          <w:i w:val="0"/>
          <w:iCs w:val="0"/>
          <w:color w:val="000000" w:themeColor="text1"/>
          <w:lang w:val="en-US"/>
        </w:rPr>
        <w:t xml:space="preserve"> </w:t>
      </w:r>
      <w:proofErr w:type="spellStart"/>
      <w:r w:rsidR="003A5A26" w:rsidRPr="00533D7F">
        <w:rPr>
          <w:rFonts w:asciiTheme="minorHAnsi" w:hAnsiTheme="minorHAnsi" w:cstheme="minorHAnsi"/>
          <w:i/>
          <w:iCs/>
          <w:color w:val="000000" w:themeColor="text1"/>
          <w:lang w:val="en-US"/>
        </w:rPr>
        <w:t>Aranyosi</w:t>
      </w:r>
      <w:proofErr w:type="spellEnd"/>
      <w:r w:rsidR="003A5A26" w:rsidRPr="00533D7F">
        <w:rPr>
          <w:rFonts w:asciiTheme="minorHAnsi" w:hAnsiTheme="minorHAnsi" w:cstheme="minorHAnsi"/>
          <w:b/>
          <w:bCs/>
          <w:color w:val="000000" w:themeColor="text1"/>
          <w:lang w:val="en-US"/>
        </w:rPr>
        <w:t> </w:t>
      </w:r>
      <w:r w:rsidR="003A5A26" w:rsidRPr="00533D7F">
        <w:rPr>
          <w:rFonts w:asciiTheme="minorHAnsi" w:hAnsiTheme="minorHAnsi" w:cstheme="minorHAnsi"/>
          <w:color w:val="000000" w:themeColor="text1"/>
          <w:lang w:val="en-US"/>
        </w:rPr>
        <w:t>and</w:t>
      </w:r>
      <w:r w:rsidR="003A5A26" w:rsidRPr="00533D7F">
        <w:rPr>
          <w:rFonts w:asciiTheme="minorHAnsi" w:hAnsiTheme="minorHAnsi" w:cstheme="minorHAnsi"/>
          <w:b/>
          <w:bCs/>
          <w:color w:val="000000" w:themeColor="text1"/>
          <w:lang w:val="en-US"/>
        </w:rPr>
        <w:t> </w:t>
      </w:r>
      <w:proofErr w:type="spellStart"/>
      <w:r w:rsidR="003A5A26" w:rsidRPr="00533D7F">
        <w:rPr>
          <w:rFonts w:asciiTheme="minorHAnsi" w:hAnsiTheme="minorHAnsi" w:cstheme="minorHAnsi"/>
          <w:i/>
          <w:iCs/>
          <w:color w:val="000000" w:themeColor="text1"/>
          <w:lang w:val="en-US"/>
        </w:rPr>
        <w:t>Căldăraru</w:t>
      </w:r>
      <w:proofErr w:type="spellEnd"/>
      <w:r w:rsidR="003A5A26" w:rsidRPr="00533D7F">
        <w:rPr>
          <w:rFonts w:asciiTheme="minorHAnsi" w:hAnsiTheme="minorHAnsi" w:cstheme="minorHAnsi"/>
          <w:color w:val="000000" w:themeColor="text1"/>
          <w:lang w:val="en-US"/>
        </w:rPr>
        <w:t>)</w:t>
      </w:r>
      <w:r w:rsidRPr="00533D7F">
        <w:rPr>
          <w:rStyle w:val="Accentuation"/>
          <w:rFonts w:asciiTheme="minorHAnsi" w:hAnsiTheme="minorHAnsi" w:cstheme="minorHAnsi"/>
          <w:i w:val="0"/>
          <w:iCs w:val="0"/>
          <w:color w:val="000000" w:themeColor="text1"/>
          <w:lang w:val="en-US"/>
        </w:rPr>
        <w:t xml:space="preserve"> </w:t>
      </w:r>
      <w:r w:rsidR="007A3B91" w:rsidRPr="00533D7F">
        <w:rPr>
          <w:rStyle w:val="Accentuation"/>
          <w:rFonts w:asciiTheme="minorHAnsi" w:hAnsiTheme="minorHAnsi" w:cstheme="minorHAnsi"/>
          <w:i w:val="0"/>
          <w:iCs w:val="0"/>
          <w:color w:val="000000" w:themeColor="text1"/>
          <w:lang w:val="en-US"/>
        </w:rPr>
        <w:t xml:space="preserve">thus </w:t>
      </w:r>
      <w:r w:rsidRPr="00533D7F">
        <w:rPr>
          <w:rStyle w:val="Accentuation"/>
          <w:rFonts w:asciiTheme="minorHAnsi" w:hAnsiTheme="minorHAnsi" w:cstheme="minorHAnsi"/>
          <w:i w:val="0"/>
          <w:iCs w:val="0"/>
          <w:color w:val="000000" w:themeColor="text1"/>
          <w:lang w:val="en-US"/>
        </w:rPr>
        <w:t xml:space="preserve">need to be commended, but one should </w:t>
      </w:r>
      <w:r w:rsidR="007A3B91" w:rsidRPr="00533D7F">
        <w:rPr>
          <w:rStyle w:val="Accentuation"/>
          <w:rFonts w:asciiTheme="minorHAnsi" w:hAnsiTheme="minorHAnsi" w:cstheme="minorHAnsi"/>
          <w:i w:val="0"/>
          <w:iCs w:val="0"/>
          <w:color w:val="000000" w:themeColor="text1"/>
          <w:lang w:val="en-US"/>
        </w:rPr>
        <w:t xml:space="preserve">be </w:t>
      </w:r>
      <w:r w:rsidRPr="00533D7F">
        <w:rPr>
          <w:rStyle w:val="Accentuation"/>
          <w:rFonts w:asciiTheme="minorHAnsi" w:hAnsiTheme="minorHAnsi" w:cstheme="minorHAnsi"/>
          <w:i w:val="0"/>
          <w:iCs w:val="0"/>
          <w:color w:val="000000" w:themeColor="text1"/>
          <w:lang w:val="en-US"/>
        </w:rPr>
        <w:t xml:space="preserve">cautious regarding the positive obligation of the states to cooperate </w:t>
      </w:r>
      <w:r w:rsidR="00D6335F" w:rsidRPr="00533D7F">
        <w:rPr>
          <w:rStyle w:val="Accentuation"/>
          <w:rFonts w:asciiTheme="minorHAnsi" w:hAnsiTheme="minorHAnsi" w:cstheme="minorHAnsi"/>
          <w:i w:val="0"/>
          <w:iCs w:val="0"/>
          <w:color w:val="000000" w:themeColor="text1"/>
          <w:lang w:val="en-US"/>
        </w:rPr>
        <w:t xml:space="preserve">created by the </w:t>
      </w:r>
      <w:r w:rsidR="003A5A26" w:rsidRPr="00533D7F">
        <w:rPr>
          <w:rStyle w:val="Accentuation"/>
          <w:rFonts w:asciiTheme="minorHAnsi" w:hAnsiTheme="minorHAnsi" w:cstheme="minorHAnsi"/>
          <w:i w:val="0"/>
          <w:iCs w:val="0"/>
          <w:color w:val="000000" w:themeColor="text1"/>
          <w:lang w:val="en-US"/>
        </w:rPr>
        <w:t xml:space="preserve">Strasbourg </w:t>
      </w:r>
      <w:r w:rsidR="00D6335F" w:rsidRPr="00533D7F">
        <w:rPr>
          <w:rStyle w:val="Accentuation"/>
          <w:rFonts w:asciiTheme="minorHAnsi" w:hAnsiTheme="minorHAnsi" w:cstheme="minorHAnsi"/>
          <w:i w:val="0"/>
          <w:iCs w:val="0"/>
          <w:color w:val="000000" w:themeColor="text1"/>
          <w:lang w:val="en-US"/>
        </w:rPr>
        <w:t>Court</w:t>
      </w:r>
      <w:r w:rsidR="00291F55">
        <w:rPr>
          <w:rStyle w:val="Accentuation"/>
          <w:rFonts w:asciiTheme="minorHAnsi" w:hAnsiTheme="minorHAnsi" w:cstheme="minorHAnsi"/>
          <w:i w:val="0"/>
          <w:iCs w:val="0"/>
          <w:color w:val="000000" w:themeColor="text1"/>
          <w:lang w:val="en-US"/>
        </w:rPr>
        <w:t>,</w:t>
      </w:r>
      <w:r w:rsidR="00D6335F" w:rsidRPr="00533D7F">
        <w:rPr>
          <w:rStyle w:val="Accentuation"/>
          <w:rFonts w:asciiTheme="minorHAnsi" w:hAnsiTheme="minorHAnsi" w:cstheme="minorHAnsi"/>
          <w:i w:val="0"/>
          <w:iCs w:val="0"/>
          <w:color w:val="000000" w:themeColor="text1"/>
          <w:lang w:val="en-US"/>
        </w:rPr>
        <w:t xml:space="preserve"> </w:t>
      </w:r>
      <w:r w:rsidRPr="00533D7F">
        <w:rPr>
          <w:rStyle w:val="Accentuation"/>
          <w:rFonts w:asciiTheme="minorHAnsi" w:hAnsiTheme="minorHAnsi" w:cstheme="minorHAnsi"/>
          <w:i w:val="0"/>
          <w:iCs w:val="0"/>
          <w:color w:val="000000" w:themeColor="text1"/>
          <w:lang w:val="en-US"/>
        </w:rPr>
        <w:t xml:space="preserve">as the latter yields immense potential to reverse the initial relationship of human rights and cooperation in criminal matters set under </w:t>
      </w:r>
      <w:proofErr w:type="spellStart"/>
      <w:r w:rsidRPr="00533D7F">
        <w:rPr>
          <w:rStyle w:val="Accentuation"/>
          <w:rFonts w:asciiTheme="minorHAnsi" w:hAnsiTheme="minorHAnsi" w:cstheme="minorHAnsi"/>
          <w:color w:val="000000" w:themeColor="text1"/>
          <w:lang w:val="en-US"/>
        </w:rPr>
        <w:t>Soering</w:t>
      </w:r>
      <w:proofErr w:type="spellEnd"/>
      <w:r w:rsidRPr="00533D7F">
        <w:rPr>
          <w:rStyle w:val="Accentuation"/>
          <w:rFonts w:asciiTheme="minorHAnsi" w:hAnsiTheme="minorHAnsi" w:cstheme="minorHAnsi"/>
          <w:i w:val="0"/>
          <w:iCs w:val="0"/>
          <w:color w:val="000000" w:themeColor="text1"/>
          <w:lang w:val="en-US"/>
        </w:rPr>
        <w:t xml:space="preserve">. </w:t>
      </w:r>
      <w:r w:rsidR="00D6335F" w:rsidRPr="00533D7F">
        <w:rPr>
          <w:rStyle w:val="Accentuation"/>
          <w:rFonts w:asciiTheme="minorHAnsi" w:hAnsiTheme="minorHAnsi" w:cstheme="minorHAnsi"/>
          <w:i w:val="0"/>
          <w:iCs w:val="0"/>
          <w:color w:val="000000" w:themeColor="text1"/>
          <w:lang w:val="en-US"/>
        </w:rPr>
        <w:t xml:space="preserve">Cooperation </w:t>
      </w:r>
      <w:r w:rsidR="007A3B91" w:rsidRPr="00533D7F">
        <w:rPr>
          <w:rStyle w:val="Accentuation"/>
          <w:rFonts w:asciiTheme="minorHAnsi" w:hAnsiTheme="minorHAnsi" w:cstheme="minorHAnsi"/>
          <w:i w:val="0"/>
          <w:iCs w:val="0"/>
          <w:color w:val="000000" w:themeColor="text1"/>
          <w:lang w:val="en-US"/>
        </w:rPr>
        <w:t>should</w:t>
      </w:r>
      <w:r w:rsidR="00D6335F" w:rsidRPr="00533D7F">
        <w:rPr>
          <w:rStyle w:val="Accentuation"/>
          <w:rFonts w:asciiTheme="minorHAnsi" w:hAnsiTheme="minorHAnsi" w:cstheme="minorHAnsi"/>
          <w:i w:val="0"/>
          <w:iCs w:val="0"/>
          <w:color w:val="000000" w:themeColor="text1"/>
          <w:lang w:val="en-US"/>
        </w:rPr>
        <w:t xml:space="preserve"> happen if human rights are respected, not the other way around. </w:t>
      </w:r>
      <w:r w:rsidRPr="00533D7F">
        <w:rPr>
          <w:rStyle w:val="Accentuation"/>
          <w:rFonts w:asciiTheme="minorHAnsi" w:hAnsiTheme="minorHAnsi" w:cstheme="minorHAnsi"/>
          <w:i w:val="0"/>
          <w:iCs w:val="0"/>
          <w:color w:val="000000" w:themeColor="text1"/>
          <w:lang w:val="en-US"/>
        </w:rPr>
        <w:t xml:space="preserve">Let us not forget, in this regard, that before </w:t>
      </w:r>
      <w:r w:rsidR="00425AC5" w:rsidRPr="00533D7F">
        <w:rPr>
          <w:rStyle w:val="Accentuation"/>
          <w:rFonts w:asciiTheme="minorHAnsi" w:hAnsiTheme="minorHAnsi" w:cstheme="minorHAnsi"/>
          <w:i w:val="0"/>
          <w:iCs w:val="0"/>
          <w:color w:val="000000" w:themeColor="text1"/>
          <w:lang w:val="en-US"/>
        </w:rPr>
        <w:t>cooperation was presented as paramount to human rights protection, the political offence exception conversely offered Contracting Parties the possibility to refuse extradition in case</w:t>
      </w:r>
      <w:r w:rsidR="00D81770">
        <w:rPr>
          <w:rStyle w:val="Accentuation"/>
          <w:rFonts w:asciiTheme="minorHAnsi" w:hAnsiTheme="minorHAnsi" w:cstheme="minorHAnsi"/>
          <w:i w:val="0"/>
          <w:iCs w:val="0"/>
          <w:color w:val="000000" w:themeColor="text1"/>
          <w:lang w:val="en-US"/>
        </w:rPr>
        <w:t>s where</w:t>
      </w:r>
      <w:r w:rsidR="00425AC5" w:rsidRPr="00533D7F">
        <w:rPr>
          <w:rStyle w:val="Accentuation"/>
          <w:rFonts w:asciiTheme="minorHAnsi" w:hAnsiTheme="minorHAnsi" w:cstheme="minorHAnsi"/>
          <w:i w:val="0"/>
          <w:iCs w:val="0"/>
          <w:color w:val="000000" w:themeColor="text1"/>
          <w:lang w:val="en-US"/>
        </w:rPr>
        <w:t xml:space="preserve"> the requesting State was deemed to be unable to offer a fair trial for the person sought.</w:t>
      </w:r>
      <w:r w:rsidR="00425AC5" w:rsidRPr="00533D7F">
        <w:rPr>
          <w:rStyle w:val="Appelnotedebasdep"/>
          <w:rFonts w:asciiTheme="minorHAnsi" w:hAnsiTheme="minorHAnsi" w:cstheme="minorHAnsi"/>
          <w:color w:val="000000" w:themeColor="text1"/>
          <w:lang w:val="en-US"/>
        </w:rPr>
        <w:footnoteReference w:id="87"/>
      </w:r>
      <w:r w:rsidR="003A5A26" w:rsidRPr="00533D7F">
        <w:rPr>
          <w:rStyle w:val="Accentuation"/>
          <w:rFonts w:asciiTheme="minorHAnsi" w:hAnsiTheme="minorHAnsi" w:cstheme="minorHAnsi"/>
          <w:i w:val="0"/>
          <w:iCs w:val="0"/>
          <w:color w:val="000000" w:themeColor="text1"/>
          <w:lang w:val="en-US"/>
        </w:rPr>
        <w:t xml:space="preserve"> A similar message lurks behind the discrimination </w:t>
      </w:r>
      <w:r w:rsidR="00566CE9">
        <w:rPr>
          <w:rStyle w:val="Accentuation"/>
          <w:rFonts w:asciiTheme="minorHAnsi" w:hAnsiTheme="minorHAnsi" w:cstheme="minorHAnsi"/>
          <w:i w:val="0"/>
          <w:iCs w:val="0"/>
          <w:color w:val="000000" w:themeColor="text1"/>
          <w:lang w:val="en-US"/>
        </w:rPr>
        <w:t>clause</w:t>
      </w:r>
      <w:r w:rsidR="003A5A26" w:rsidRPr="00533D7F">
        <w:rPr>
          <w:rStyle w:val="Accentuation"/>
          <w:rFonts w:asciiTheme="minorHAnsi" w:hAnsiTheme="minorHAnsi" w:cstheme="minorHAnsi"/>
          <w:i w:val="0"/>
          <w:iCs w:val="0"/>
          <w:color w:val="000000" w:themeColor="text1"/>
          <w:lang w:val="en-US"/>
        </w:rPr>
        <w:t>.</w:t>
      </w:r>
      <w:r w:rsidR="003A5A26" w:rsidRPr="00533D7F">
        <w:rPr>
          <w:rStyle w:val="Appelnotedebasdep"/>
          <w:rFonts w:asciiTheme="minorHAnsi" w:hAnsiTheme="minorHAnsi" w:cstheme="minorHAnsi"/>
          <w:color w:val="000000" w:themeColor="text1"/>
          <w:lang w:val="en-US"/>
        </w:rPr>
        <w:footnoteReference w:id="88"/>
      </w:r>
      <w:r w:rsidR="003A5A26" w:rsidRPr="00533D7F">
        <w:rPr>
          <w:rStyle w:val="Accentuation"/>
          <w:rFonts w:asciiTheme="minorHAnsi" w:hAnsiTheme="minorHAnsi" w:cstheme="minorHAnsi"/>
          <w:i w:val="0"/>
          <w:iCs w:val="0"/>
          <w:color w:val="000000" w:themeColor="text1"/>
          <w:lang w:val="en-US"/>
        </w:rPr>
        <w:t xml:space="preserve"> Unquestionably, States have and should have obligations to carry out a human rights check before sending </w:t>
      </w:r>
      <w:r w:rsidR="00DD15B6" w:rsidRPr="00533D7F">
        <w:rPr>
          <w:rStyle w:val="Accentuation"/>
          <w:rFonts w:asciiTheme="minorHAnsi" w:hAnsiTheme="minorHAnsi" w:cstheme="minorHAnsi"/>
          <w:i w:val="0"/>
          <w:iCs w:val="0"/>
          <w:color w:val="000000" w:themeColor="text1"/>
          <w:lang w:val="en-US"/>
        </w:rPr>
        <w:t xml:space="preserve">suspects </w:t>
      </w:r>
      <w:r w:rsidR="003A5A26" w:rsidRPr="00533D7F">
        <w:rPr>
          <w:rStyle w:val="Accentuation"/>
          <w:rFonts w:asciiTheme="minorHAnsi" w:hAnsiTheme="minorHAnsi" w:cstheme="minorHAnsi"/>
          <w:i w:val="0"/>
          <w:iCs w:val="0"/>
          <w:color w:val="000000" w:themeColor="text1"/>
          <w:lang w:val="en-US"/>
        </w:rPr>
        <w:t xml:space="preserve">away. It is more questionable whether human rights can be the right source for creating extra layers of obligations to cooperate between states. </w:t>
      </w:r>
      <w:r w:rsidR="003A5A26" w:rsidRPr="00653EEE">
        <w:rPr>
          <w:rStyle w:val="Accentuation"/>
          <w:rFonts w:asciiTheme="minorHAnsi" w:hAnsiTheme="minorHAnsi" w:cstheme="minorHAnsi"/>
          <w:i w:val="0"/>
          <w:iCs w:val="0"/>
          <w:color w:val="000000" w:themeColor="text1"/>
          <w:lang w:val="en-US"/>
        </w:rPr>
        <w:t xml:space="preserve">Sending Basque political militants to Spain with the abundance of </w:t>
      </w:r>
      <w:r w:rsidR="00157091" w:rsidRPr="00653EEE">
        <w:rPr>
          <w:rStyle w:val="Accentuation"/>
          <w:rFonts w:asciiTheme="minorHAnsi" w:hAnsiTheme="minorHAnsi" w:cstheme="minorHAnsi"/>
          <w:i w:val="0"/>
          <w:iCs w:val="0"/>
          <w:color w:val="000000" w:themeColor="text1"/>
          <w:lang w:val="en-US"/>
        </w:rPr>
        <w:t xml:space="preserve">international </w:t>
      </w:r>
      <w:r w:rsidR="003A5A26" w:rsidRPr="00653EEE">
        <w:rPr>
          <w:rStyle w:val="Accentuation"/>
          <w:rFonts w:asciiTheme="minorHAnsi" w:hAnsiTheme="minorHAnsi" w:cstheme="minorHAnsi"/>
          <w:i w:val="0"/>
          <w:iCs w:val="0"/>
          <w:color w:val="000000" w:themeColor="text1"/>
          <w:lang w:val="en-US"/>
        </w:rPr>
        <w:t>evidence</w:t>
      </w:r>
      <w:r w:rsidR="00157091" w:rsidRPr="00653EEE">
        <w:rPr>
          <w:rStyle w:val="Accentuation"/>
          <w:rFonts w:asciiTheme="minorHAnsi" w:hAnsiTheme="minorHAnsi" w:cstheme="minorHAnsi"/>
          <w:i w:val="0"/>
          <w:iCs w:val="0"/>
          <w:color w:val="000000" w:themeColor="text1"/>
          <w:lang w:val="en-US"/>
        </w:rPr>
        <w:t xml:space="preserve"> on poor detention conditions in that country can</w:t>
      </w:r>
      <w:r w:rsidR="00E2442D" w:rsidRPr="00653EEE">
        <w:rPr>
          <w:rStyle w:val="Accentuation"/>
          <w:rFonts w:asciiTheme="minorHAnsi" w:hAnsiTheme="minorHAnsi" w:cstheme="minorHAnsi"/>
          <w:i w:val="0"/>
          <w:iCs w:val="0"/>
          <w:color w:val="000000" w:themeColor="text1"/>
          <w:lang w:val="en-US"/>
        </w:rPr>
        <w:t>,</w:t>
      </w:r>
      <w:r w:rsidR="00157091" w:rsidRPr="00653EEE">
        <w:rPr>
          <w:rStyle w:val="Accentuation"/>
          <w:rFonts w:asciiTheme="minorHAnsi" w:hAnsiTheme="minorHAnsi" w:cstheme="minorHAnsi"/>
          <w:i w:val="0"/>
          <w:iCs w:val="0"/>
          <w:color w:val="000000" w:themeColor="text1"/>
          <w:lang w:val="en-US"/>
        </w:rPr>
        <w:t xml:space="preserve"> in our view</w:t>
      </w:r>
      <w:r w:rsidR="00E2442D" w:rsidRPr="00653EEE">
        <w:rPr>
          <w:rStyle w:val="Accentuation"/>
          <w:rFonts w:asciiTheme="minorHAnsi" w:hAnsiTheme="minorHAnsi" w:cstheme="minorHAnsi"/>
          <w:i w:val="0"/>
          <w:iCs w:val="0"/>
          <w:color w:val="000000" w:themeColor="text1"/>
          <w:lang w:val="en-US"/>
        </w:rPr>
        <w:t>,</w:t>
      </w:r>
      <w:r w:rsidR="00157091" w:rsidRPr="00653EEE">
        <w:rPr>
          <w:rStyle w:val="Accentuation"/>
          <w:rFonts w:asciiTheme="minorHAnsi" w:hAnsiTheme="minorHAnsi" w:cstheme="minorHAnsi"/>
          <w:i w:val="0"/>
          <w:iCs w:val="0"/>
          <w:color w:val="000000" w:themeColor="text1"/>
          <w:lang w:val="en-US"/>
        </w:rPr>
        <w:t xml:space="preserve"> not be justified as a positive human rights obligation.</w:t>
      </w:r>
      <w:r w:rsidR="00157091" w:rsidRPr="00533D7F">
        <w:rPr>
          <w:rStyle w:val="Accentuation"/>
          <w:rFonts w:asciiTheme="minorHAnsi" w:hAnsiTheme="minorHAnsi" w:cstheme="minorHAnsi"/>
          <w:i w:val="0"/>
          <w:iCs w:val="0"/>
          <w:color w:val="000000" w:themeColor="text1"/>
          <w:lang w:val="en-US"/>
        </w:rPr>
        <w:t xml:space="preserve"> </w:t>
      </w:r>
    </w:p>
    <w:p w14:paraId="4CB7EC2B" w14:textId="77777777" w:rsidR="00C920C6" w:rsidRDefault="00C920C6" w:rsidP="008D761F">
      <w:pPr>
        <w:jc w:val="both"/>
        <w:rPr>
          <w:rStyle w:val="Accentuation"/>
          <w:rFonts w:asciiTheme="minorHAnsi" w:hAnsiTheme="minorHAnsi" w:cstheme="minorHAnsi"/>
          <w:i w:val="0"/>
          <w:iCs w:val="0"/>
          <w:color w:val="000000" w:themeColor="text1"/>
          <w:lang w:val="en-US"/>
        </w:rPr>
      </w:pPr>
    </w:p>
    <w:p w14:paraId="14800433" w14:textId="4E0705CC" w:rsidR="00170B24" w:rsidRPr="00533D7F" w:rsidRDefault="00157091" w:rsidP="008D761F">
      <w:pPr>
        <w:jc w:val="both"/>
        <w:rPr>
          <w:rFonts w:asciiTheme="minorHAnsi" w:hAnsiTheme="minorHAnsi" w:cstheme="minorHAnsi"/>
          <w:color w:val="000000" w:themeColor="text1"/>
          <w:lang w:val="en-US"/>
        </w:rPr>
      </w:pPr>
      <w:r w:rsidRPr="00533D7F">
        <w:rPr>
          <w:rStyle w:val="Accentuation"/>
          <w:rFonts w:asciiTheme="minorHAnsi" w:hAnsiTheme="minorHAnsi" w:cstheme="minorHAnsi"/>
          <w:i w:val="0"/>
          <w:iCs w:val="0"/>
          <w:color w:val="000000" w:themeColor="text1"/>
          <w:lang w:val="en-US"/>
        </w:rPr>
        <w:t xml:space="preserve">Our plea for more </w:t>
      </w:r>
      <w:proofErr w:type="spellStart"/>
      <w:r w:rsidRPr="00533D7F">
        <w:rPr>
          <w:rStyle w:val="Accentuation"/>
          <w:rFonts w:asciiTheme="minorHAnsi" w:hAnsiTheme="minorHAnsi" w:cstheme="minorHAnsi"/>
          <w:i w:val="0"/>
          <w:iCs w:val="0"/>
          <w:color w:val="000000" w:themeColor="text1"/>
          <w:lang w:val="en-US"/>
        </w:rPr>
        <w:t>conceptuali</w:t>
      </w:r>
      <w:r w:rsidR="00E2442D">
        <w:rPr>
          <w:rStyle w:val="Accentuation"/>
          <w:rFonts w:asciiTheme="minorHAnsi" w:hAnsiTheme="minorHAnsi" w:cstheme="minorHAnsi"/>
          <w:i w:val="0"/>
          <w:iCs w:val="0"/>
          <w:color w:val="000000" w:themeColor="text1"/>
          <w:lang w:val="en-US"/>
        </w:rPr>
        <w:t>s</w:t>
      </w:r>
      <w:r w:rsidRPr="00533D7F">
        <w:rPr>
          <w:rStyle w:val="Accentuation"/>
          <w:rFonts w:asciiTheme="minorHAnsi" w:hAnsiTheme="minorHAnsi" w:cstheme="minorHAnsi"/>
          <w:i w:val="0"/>
          <w:iCs w:val="0"/>
          <w:color w:val="000000" w:themeColor="text1"/>
          <w:lang w:val="en-US"/>
        </w:rPr>
        <w:t>ation</w:t>
      </w:r>
      <w:proofErr w:type="spellEnd"/>
      <w:r w:rsidRPr="00533D7F">
        <w:rPr>
          <w:rStyle w:val="Accentuation"/>
          <w:rFonts w:asciiTheme="minorHAnsi" w:hAnsiTheme="minorHAnsi" w:cstheme="minorHAnsi"/>
          <w:i w:val="0"/>
          <w:iCs w:val="0"/>
          <w:color w:val="000000" w:themeColor="text1"/>
          <w:lang w:val="en-US"/>
        </w:rPr>
        <w:t xml:space="preserve"> of European fundamental rights in a truly European perspective transcending the state level, has very little to do with the new doctrine developed in </w:t>
      </w:r>
      <w:proofErr w:type="spellStart"/>
      <w:r w:rsidRPr="00533D7F">
        <w:rPr>
          <w:rFonts w:asciiTheme="minorHAnsi" w:hAnsiTheme="minorHAnsi" w:cstheme="minorHAnsi"/>
          <w:i/>
          <w:iCs/>
          <w:lang w:val="en-US" w:eastAsia="en-US"/>
        </w:rPr>
        <w:t>Güzelyurtlu</w:t>
      </w:r>
      <w:proofErr w:type="spellEnd"/>
      <w:r w:rsidRPr="00533D7F">
        <w:rPr>
          <w:rFonts w:asciiTheme="minorHAnsi" w:hAnsiTheme="minorHAnsi" w:cstheme="minorHAnsi"/>
          <w:lang w:val="en-US" w:eastAsia="en-US"/>
        </w:rPr>
        <w:t xml:space="preserve"> and </w:t>
      </w:r>
      <w:proofErr w:type="spellStart"/>
      <w:r w:rsidRPr="00533D7F">
        <w:rPr>
          <w:rFonts w:asciiTheme="minorHAnsi" w:hAnsiTheme="minorHAnsi" w:cstheme="minorHAnsi"/>
          <w:i/>
          <w:iCs/>
          <w:lang w:val="en-US" w:eastAsia="en-US"/>
        </w:rPr>
        <w:t>Casta</w:t>
      </w:r>
      <w:r w:rsidRPr="005E342C">
        <w:rPr>
          <w:rStyle w:val="Accentuation"/>
          <w:rFonts w:asciiTheme="minorHAnsi" w:hAnsiTheme="minorHAnsi" w:cstheme="minorHAnsi"/>
          <w:color w:val="000000" w:themeColor="text1"/>
          <w:lang w:val="en-US"/>
        </w:rPr>
        <w:t>ño</w:t>
      </w:r>
      <w:proofErr w:type="spellEnd"/>
      <w:r w:rsidRPr="00533D7F">
        <w:rPr>
          <w:rStyle w:val="Accentuation"/>
          <w:rFonts w:asciiTheme="minorHAnsi" w:hAnsiTheme="minorHAnsi" w:cstheme="minorHAnsi"/>
          <w:i w:val="0"/>
          <w:iCs w:val="0"/>
          <w:color w:val="000000" w:themeColor="text1"/>
          <w:lang w:val="en-US"/>
        </w:rPr>
        <w:t xml:space="preserve">. Human rights should protect individuals, rather than regulate state cooperation. A </w:t>
      </w:r>
      <w:r w:rsidR="00D54D8D">
        <w:rPr>
          <w:rStyle w:val="Accentuation"/>
          <w:rFonts w:asciiTheme="minorHAnsi" w:hAnsiTheme="minorHAnsi" w:cstheme="minorHAnsi"/>
          <w:i w:val="0"/>
          <w:iCs w:val="0"/>
          <w:color w:val="000000" w:themeColor="text1"/>
          <w:lang w:val="en-US"/>
        </w:rPr>
        <w:t xml:space="preserve">hardcore </w:t>
      </w:r>
      <w:proofErr w:type="spellStart"/>
      <w:r w:rsidRPr="00533D7F">
        <w:rPr>
          <w:rStyle w:val="Accentuation"/>
          <w:rFonts w:asciiTheme="minorHAnsi" w:hAnsiTheme="minorHAnsi" w:cstheme="minorHAnsi"/>
          <w:i w:val="0"/>
          <w:iCs w:val="0"/>
          <w:color w:val="000000" w:themeColor="text1"/>
          <w:lang w:val="en-US"/>
        </w:rPr>
        <w:t>defen</w:t>
      </w:r>
      <w:r w:rsidR="00D81770">
        <w:rPr>
          <w:rStyle w:val="Accentuation"/>
          <w:rFonts w:asciiTheme="minorHAnsi" w:hAnsiTheme="minorHAnsi" w:cstheme="minorHAnsi"/>
          <w:i w:val="0"/>
          <w:iCs w:val="0"/>
          <w:color w:val="000000" w:themeColor="text1"/>
          <w:lang w:val="en-US"/>
        </w:rPr>
        <w:t>c</w:t>
      </w:r>
      <w:r w:rsidRPr="00533D7F">
        <w:rPr>
          <w:rStyle w:val="Accentuation"/>
          <w:rFonts w:asciiTheme="minorHAnsi" w:hAnsiTheme="minorHAnsi" w:cstheme="minorHAnsi"/>
          <w:i w:val="0"/>
          <w:iCs w:val="0"/>
          <w:color w:val="000000" w:themeColor="text1"/>
          <w:lang w:val="en-US"/>
        </w:rPr>
        <w:t>e</w:t>
      </w:r>
      <w:proofErr w:type="spellEnd"/>
      <w:r w:rsidRPr="00533D7F">
        <w:rPr>
          <w:rStyle w:val="Accentuation"/>
          <w:rFonts w:asciiTheme="minorHAnsi" w:hAnsiTheme="minorHAnsi" w:cstheme="minorHAnsi"/>
          <w:i w:val="0"/>
          <w:iCs w:val="0"/>
          <w:color w:val="000000" w:themeColor="text1"/>
          <w:lang w:val="en-US"/>
        </w:rPr>
        <w:t xml:space="preserve"> lawyer</w:t>
      </w:r>
      <w:r w:rsidRPr="00650689">
        <w:rPr>
          <w:rStyle w:val="Accentuation"/>
          <w:rFonts w:asciiTheme="minorHAnsi" w:hAnsiTheme="minorHAnsi"/>
          <w:i w:val="0"/>
          <w:color w:val="000000" w:themeColor="text1"/>
          <w:lang w:val="en-US"/>
        </w:rPr>
        <w:t xml:space="preserve"> </w:t>
      </w:r>
      <w:r w:rsidRPr="00533D7F">
        <w:rPr>
          <w:rStyle w:val="Accentuation"/>
          <w:rFonts w:asciiTheme="minorHAnsi" w:hAnsiTheme="minorHAnsi" w:cstheme="minorHAnsi"/>
          <w:i w:val="0"/>
          <w:iCs w:val="0"/>
          <w:color w:val="000000" w:themeColor="text1"/>
          <w:lang w:val="en-US"/>
        </w:rPr>
        <w:t xml:space="preserve">like </w:t>
      </w:r>
      <w:r w:rsidR="00170B24" w:rsidRPr="00533D7F">
        <w:rPr>
          <w:rFonts w:asciiTheme="minorHAnsi" w:hAnsiTheme="minorHAnsi" w:cstheme="minorHAnsi"/>
          <w:lang w:val="en-US"/>
        </w:rPr>
        <w:t xml:space="preserve">Scott Crosby </w:t>
      </w:r>
      <w:r w:rsidRPr="00533D7F">
        <w:rPr>
          <w:rFonts w:asciiTheme="minorHAnsi" w:hAnsiTheme="minorHAnsi" w:cstheme="minorHAnsi"/>
          <w:lang w:val="en-US"/>
        </w:rPr>
        <w:t xml:space="preserve">would certainly comprehend this dangerous use of positive human rights obligations in the said cases. </w:t>
      </w:r>
      <w:r w:rsidR="007D2999" w:rsidRPr="00533D7F">
        <w:rPr>
          <w:rFonts w:asciiTheme="minorHAnsi" w:hAnsiTheme="minorHAnsi" w:cstheme="minorHAnsi"/>
          <w:lang w:val="en-US"/>
        </w:rPr>
        <w:t xml:space="preserve">Later </w:t>
      </w:r>
      <w:proofErr w:type="gramStart"/>
      <w:r w:rsidR="007D2999" w:rsidRPr="00533D7F">
        <w:rPr>
          <w:rFonts w:asciiTheme="minorHAnsi" w:hAnsiTheme="minorHAnsi" w:cstheme="minorHAnsi"/>
          <w:lang w:val="en-US"/>
        </w:rPr>
        <w:t>on</w:t>
      </w:r>
      <w:proofErr w:type="gramEnd"/>
      <w:r w:rsidR="007D2999" w:rsidRPr="00533D7F">
        <w:rPr>
          <w:rFonts w:asciiTheme="minorHAnsi" w:hAnsiTheme="minorHAnsi" w:cstheme="minorHAnsi"/>
          <w:lang w:val="en-US"/>
        </w:rPr>
        <w:t xml:space="preserve"> in his career</w:t>
      </w:r>
      <w:r w:rsidR="00457295">
        <w:rPr>
          <w:rFonts w:asciiTheme="minorHAnsi" w:hAnsiTheme="minorHAnsi" w:cstheme="minorHAnsi"/>
          <w:lang w:val="en-US"/>
        </w:rPr>
        <w:t>,</w:t>
      </w:r>
      <w:r w:rsidR="007D2999" w:rsidRPr="00533D7F">
        <w:rPr>
          <w:rFonts w:asciiTheme="minorHAnsi" w:hAnsiTheme="minorHAnsi" w:cstheme="minorHAnsi"/>
          <w:lang w:val="en-US"/>
        </w:rPr>
        <w:t xml:space="preserve"> Scott became a human rights law professor at the Vrije Universiteit Brussels. Students were privileged to </w:t>
      </w:r>
      <w:r w:rsidR="00575D19">
        <w:rPr>
          <w:rFonts w:asciiTheme="minorHAnsi" w:hAnsiTheme="minorHAnsi" w:cstheme="minorHAnsi"/>
          <w:lang w:val="en-US"/>
        </w:rPr>
        <w:t>benefit</w:t>
      </w:r>
      <w:r w:rsidR="007D2999" w:rsidRPr="00533D7F">
        <w:rPr>
          <w:rFonts w:asciiTheme="minorHAnsi" w:hAnsiTheme="minorHAnsi" w:cstheme="minorHAnsi"/>
          <w:lang w:val="en-US"/>
        </w:rPr>
        <w:t xml:space="preserve"> both</w:t>
      </w:r>
      <w:r w:rsidR="00575D19">
        <w:rPr>
          <w:rFonts w:asciiTheme="minorHAnsi" w:hAnsiTheme="minorHAnsi" w:cstheme="minorHAnsi"/>
          <w:lang w:val="en-US"/>
        </w:rPr>
        <w:t xml:space="preserve"> from his knowledge</w:t>
      </w:r>
      <w:r w:rsidR="007D2999" w:rsidRPr="00533D7F">
        <w:rPr>
          <w:rFonts w:asciiTheme="minorHAnsi" w:hAnsiTheme="minorHAnsi" w:cstheme="minorHAnsi"/>
          <w:lang w:val="en-US"/>
        </w:rPr>
        <w:t xml:space="preserve"> </w:t>
      </w:r>
      <w:r w:rsidR="00575D19">
        <w:rPr>
          <w:rFonts w:asciiTheme="minorHAnsi" w:hAnsiTheme="minorHAnsi" w:cstheme="minorHAnsi"/>
          <w:lang w:val="en-US"/>
        </w:rPr>
        <w:t xml:space="preserve">of </w:t>
      </w:r>
      <w:r w:rsidR="007D2999" w:rsidRPr="00533D7F">
        <w:rPr>
          <w:rFonts w:asciiTheme="minorHAnsi" w:hAnsiTheme="minorHAnsi" w:cstheme="minorHAnsi"/>
          <w:lang w:val="en-US"/>
        </w:rPr>
        <w:t>human rights</w:t>
      </w:r>
      <w:r w:rsidR="00575D19">
        <w:rPr>
          <w:rFonts w:asciiTheme="minorHAnsi" w:hAnsiTheme="minorHAnsi" w:cstheme="minorHAnsi"/>
          <w:lang w:val="en-US"/>
        </w:rPr>
        <w:t xml:space="preserve"> broadly speaking, but also from his expertise and longstanding experience as a </w:t>
      </w:r>
      <w:proofErr w:type="spellStart"/>
      <w:r w:rsidR="00575D19">
        <w:rPr>
          <w:rFonts w:asciiTheme="minorHAnsi" w:hAnsiTheme="minorHAnsi" w:cstheme="minorHAnsi"/>
          <w:lang w:val="en-US"/>
        </w:rPr>
        <w:t>defence</w:t>
      </w:r>
      <w:proofErr w:type="spellEnd"/>
      <w:r w:rsidR="00575D19">
        <w:rPr>
          <w:rFonts w:asciiTheme="minorHAnsi" w:hAnsiTheme="minorHAnsi" w:cstheme="minorHAnsi"/>
          <w:lang w:val="en-US"/>
        </w:rPr>
        <w:t xml:space="preserve"> lawyer</w:t>
      </w:r>
      <w:r w:rsidR="007D2999" w:rsidRPr="00533D7F">
        <w:rPr>
          <w:rFonts w:asciiTheme="minorHAnsi" w:hAnsiTheme="minorHAnsi" w:cstheme="minorHAnsi"/>
          <w:lang w:val="en-US"/>
        </w:rPr>
        <w:t xml:space="preserve">. Perhaps there is a need for more </w:t>
      </w:r>
      <w:proofErr w:type="spellStart"/>
      <w:r w:rsidR="007D2999" w:rsidRPr="00533D7F">
        <w:rPr>
          <w:rFonts w:asciiTheme="minorHAnsi" w:hAnsiTheme="minorHAnsi" w:cstheme="minorHAnsi"/>
          <w:lang w:val="en-US"/>
        </w:rPr>
        <w:t>defen</w:t>
      </w:r>
      <w:r w:rsidR="00575D19">
        <w:rPr>
          <w:rFonts w:asciiTheme="minorHAnsi" w:hAnsiTheme="minorHAnsi" w:cstheme="minorHAnsi"/>
          <w:lang w:val="en-US"/>
        </w:rPr>
        <w:t>c</w:t>
      </w:r>
      <w:r w:rsidR="007D2999" w:rsidRPr="00533D7F">
        <w:rPr>
          <w:rFonts w:asciiTheme="minorHAnsi" w:hAnsiTheme="minorHAnsi" w:cstheme="minorHAnsi"/>
          <w:lang w:val="en-US"/>
        </w:rPr>
        <w:t>e</w:t>
      </w:r>
      <w:proofErr w:type="spellEnd"/>
      <w:r w:rsidR="007D2999" w:rsidRPr="00533D7F">
        <w:rPr>
          <w:rFonts w:asciiTheme="minorHAnsi" w:hAnsiTheme="minorHAnsi" w:cstheme="minorHAnsi"/>
          <w:lang w:val="en-US"/>
        </w:rPr>
        <w:t xml:space="preserve"> lawyers amongst the human rights judges in Strasbourg. Victims</w:t>
      </w:r>
      <w:r w:rsidR="009A618B" w:rsidRPr="00533D7F">
        <w:rPr>
          <w:rFonts w:asciiTheme="minorHAnsi" w:hAnsiTheme="minorHAnsi" w:cstheme="minorHAnsi"/>
          <w:lang w:val="en-US"/>
        </w:rPr>
        <w:t xml:space="preserve"> of crime</w:t>
      </w:r>
      <w:r w:rsidR="007D2999" w:rsidRPr="00533D7F">
        <w:rPr>
          <w:rFonts w:asciiTheme="minorHAnsi" w:hAnsiTheme="minorHAnsi" w:cstheme="minorHAnsi"/>
          <w:lang w:val="en-US"/>
        </w:rPr>
        <w:t xml:space="preserve">, like Romeo </w:t>
      </w:r>
      <w:proofErr w:type="spellStart"/>
      <w:r w:rsidR="007D2999" w:rsidRPr="00533D7F">
        <w:rPr>
          <w:rFonts w:asciiTheme="minorHAnsi" w:hAnsiTheme="minorHAnsi" w:cstheme="minorHAnsi"/>
          <w:lang w:val="en-US"/>
        </w:rPr>
        <w:t>Casta</w:t>
      </w:r>
      <w:r w:rsidR="007D2999" w:rsidRPr="00533D7F">
        <w:rPr>
          <w:rStyle w:val="Accentuation"/>
          <w:rFonts w:asciiTheme="minorHAnsi" w:eastAsiaTheme="majorEastAsia" w:hAnsiTheme="minorHAnsi" w:cstheme="minorHAnsi"/>
          <w:i w:val="0"/>
          <w:iCs w:val="0"/>
          <w:color w:val="000000" w:themeColor="text1"/>
          <w:lang w:val="en-US"/>
        </w:rPr>
        <w:t>ño</w:t>
      </w:r>
      <w:proofErr w:type="spellEnd"/>
      <w:r w:rsidR="007D2999" w:rsidRPr="00533D7F">
        <w:rPr>
          <w:rFonts w:asciiTheme="minorHAnsi" w:hAnsiTheme="minorHAnsi" w:cstheme="minorHAnsi"/>
          <w:lang w:val="en-US"/>
        </w:rPr>
        <w:t xml:space="preserve"> and his father are</w:t>
      </w:r>
      <w:r w:rsidR="00CB334A">
        <w:rPr>
          <w:rFonts w:asciiTheme="minorHAnsi" w:hAnsiTheme="minorHAnsi" w:cstheme="minorHAnsi"/>
          <w:lang w:val="en-US"/>
        </w:rPr>
        <w:t>,</w:t>
      </w:r>
      <w:r w:rsidR="007D2999" w:rsidRPr="00533D7F">
        <w:rPr>
          <w:rFonts w:asciiTheme="minorHAnsi" w:hAnsiTheme="minorHAnsi" w:cstheme="minorHAnsi"/>
          <w:lang w:val="en-US"/>
        </w:rPr>
        <w:t xml:space="preserve"> of course</w:t>
      </w:r>
      <w:r w:rsidR="00CB334A">
        <w:rPr>
          <w:rFonts w:asciiTheme="minorHAnsi" w:hAnsiTheme="minorHAnsi" w:cstheme="minorHAnsi"/>
          <w:lang w:val="en-US"/>
        </w:rPr>
        <w:t>,</w:t>
      </w:r>
      <w:r w:rsidR="007D2999" w:rsidRPr="00533D7F">
        <w:rPr>
          <w:rFonts w:asciiTheme="minorHAnsi" w:hAnsiTheme="minorHAnsi" w:cstheme="minorHAnsi"/>
          <w:lang w:val="en-US"/>
        </w:rPr>
        <w:t xml:space="preserve"> entitled to human rights protection too</w:t>
      </w:r>
      <w:r w:rsidR="000C109A">
        <w:rPr>
          <w:rFonts w:asciiTheme="minorHAnsi" w:hAnsiTheme="minorHAnsi" w:cstheme="minorHAnsi"/>
          <w:lang w:val="en-US"/>
        </w:rPr>
        <w:t>,</w:t>
      </w:r>
      <w:r w:rsidR="007D2999" w:rsidRPr="00533D7F">
        <w:rPr>
          <w:rFonts w:asciiTheme="minorHAnsi" w:hAnsiTheme="minorHAnsi" w:cstheme="minorHAnsi"/>
          <w:lang w:val="en-US"/>
        </w:rPr>
        <w:t xml:space="preserve"> </w:t>
      </w:r>
      <w:r w:rsidR="009A618B" w:rsidRPr="00533D7F">
        <w:rPr>
          <w:rFonts w:asciiTheme="minorHAnsi" w:hAnsiTheme="minorHAnsi" w:cstheme="minorHAnsi"/>
          <w:lang w:val="en-US"/>
        </w:rPr>
        <w:t xml:space="preserve">and this is the contribution of </w:t>
      </w:r>
      <w:proofErr w:type="spellStart"/>
      <w:r w:rsidR="009A618B" w:rsidRPr="00533D7F">
        <w:rPr>
          <w:rFonts w:asciiTheme="minorHAnsi" w:hAnsiTheme="minorHAnsi" w:cstheme="minorHAnsi"/>
          <w:lang w:val="en-US"/>
        </w:rPr>
        <w:t>defen</w:t>
      </w:r>
      <w:r w:rsidR="00575D19">
        <w:rPr>
          <w:rFonts w:asciiTheme="minorHAnsi" w:hAnsiTheme="minorHAnsi" w:cstheme="minorHAnsi"/>
          <w:lang w:val="en-US"/>
        </w:rPr>
        <w:t>c</w:t>
      </w:r>
      <w:r w:rsidR="009A618B" w:rsidRPr="00533D7F">
        <w:rPr>
          <w:rFonts w:asciiTheme="minorHAnsi" w:hAnsiTheme="minorHAnsi" w:cstheme="minorHAnsi"/>
          <w:lang w:val="en-US"/>
        </w:rPr>
        <w:t>e</w:t>
      </w:r>
      <w:proofErr w:type="spellEnd"/>
      <w:r w:rsidR="009A618B" w:rsidRPr="00533D7F">
        <w:rPr>
          <w:rFonts w:asciiTheme="minorHAnsi" w:hAnsiTheme="minorHAnsi" w:cstheme="minorHAnsi"/>
          <w:lang w:val="en-US"/>
        </w:rPr>
        <w:t xml:space="preserve"> </w:t>
      </w:r>
      <w:r w:rsidR="00575D19">
        <w:rPr>
          <w:rFonts w:asciiTheme="minorHAnsi" w:hAnsiTheme="minorHAnsi" w:cstheme="minorHAnsi"/>
          <w:lang w:val="en-US"/>
        </w:rPr>
        <w:t>lawyers</w:t>
      </w:r>
      <w:r w:rsidR="009A618B" w:rsidRPr="00533D7F">
        <w:rPr>
          <w:rFonts w:asciiTheme="minorHAnsi" w:hAnsiTheme="minorHAnsi" w:cstheme="minorHAnsi"/>
          <w:lang w:val="en-US"/>
        </w:rPr>
        <w:t xml:space="preserve"> to human rights law, </w:t>
      </w:r>
      <w:r w:rsidR="00CC6993">
        <w:rPr>
          <w:rFonts w:asciiTheme="minorHAnsi" w:hAnsiTheme="minorHAnsi" w:cstheme="minorHAnsi"/>
          <w:lang w:val="en-US"/>
        </w:rPr>
        <w:t xml:space="preserve">but this should </w:t>
      </w:r>
      <w:r w:rsidR="009A618B" w:rsidRPr="00533D7F">
        <w:rPr>
          <w:rFonts w:asciiTheme="minorHAnsi" w:hAnsiTheme="minorHAnsi" w:cstheme="minorHAnsi"/>
          <w:lang w:val="en-US"/>
        </w:rPr>
        <w:t xml:space="preserve">never </w:t>
      </w:r>
      <w:r w:rsidR="00CC6993">
        <w:rPr>
          <w:rFonts w:asciiTheme="minorHAnsi" w:hAnsiTheme="minorHAnsi" w:cstheme="minorHAnsi"/>
          <w:lang w:val="en-US"/>
        </w:rPr>
        <w:t>be</w:t>
      </w:r>
      <w:r w:rsidR="009A618B" w:rsidRPr="00533D7F">
        <w:rPr>
          <w:rFonts w:asciiTheme="minorHAnsi" w:hAnsiTheme="minorHAnsi" w:cstheme="minorHAnsi"/>
          <w:lang w:val="en-US"/>
        </w:rPr>
        <w:t xml:space="preserve"> at the expense of the rights of the accused. </w:t>
      </w:r>
    </w:p>
    <w:p w14:paraId="0F3199F7" w14:textId="77777777" w:rsidR="008D761F" w:rsidRPr="00533D7F" w:rsidRDefault="008D761F" w:rsidP="00FB1782">
      <w:pPr>
        <w:rPr>
          <w:rFonts w:asciiTheme="minorHAnsi" w:hAnsiTheme="minorHAnsi" w:cstheme="minorHAnsi"/>
          <w:lang w:val="en-US" w:eastAsia="en-US"/>
        </w:rPr>
      </w:pPr>
    </w:p>
    <w:sectPr w:rsidR="008D761F" w:rsidRPr="00533D7F" w:rsidSect="00A431FB">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6D93F" w14:textId="77777777" w:rsidR="00816B2B" w:rsidRDefault="00816B2B" w:rsidP="003F10ED">
      <w:r>
        <w:separator/>
      </w:r>
    </w:p>
  </w:endnote>
  <w:endnote w:type="continuationSeparator" w:id="0">
    <w:p w14:paraId="7E65C9B5" w14:textId="77777777" w:rsidR="00816B2B" w:rsidRDefault="00816B2B" w:rsidP="003F10ED">
      <w:r>
        <w:continuationSeparator/>
      </w:r>
    </w:p>
  </w:endnote>
  <w:endnote w:type="continuationNotice" w:id="1">
    <w:p w14:paraId="46A628A6" w14:textId="77777777" w:rsidR="00816B2B" w:rsidRDefault="00816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712246942"/>
      <w:docPartObj>
        <w:docPartGallery w:val="Page Numbers (Bottom of Page)"/>
        <w:docPartUnique/>
      </w:docPartObj>
    </w:sdtPr>
    <w:sdtEndPr>
      <w:rPr>
        <w:rStyle w:val="Numrodepage"/>
      </w:rPr>
    </w:sdtEndPr>
    <w:sdtContent>
      <w:p w14:paraId="60D75E9D" w14:textId="77777777" w:rsidR="00F938D8" w:rsidRDefault="00F938D8" w:rsidP="00C355C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155A96B" w14:textId="77777777" w:rsidR="00F938D8" w:rsidRDefault="00F938D8" w:rsidP="003F10E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61754891"/>
      <w:docPartObj>
        <w:docPartGallery w:val="Page Numbers (Bottom of Page)"/>
        <w:docPartUnique/>
      </w:docPartObj>
    </w:sdtPr>
    <w:sdtEndPr>
      <w:rPr>
        <w:rStyle w:val="Numrodepage"/>
      </w:rPr>
    </w:sdtEndPr>
    <w:sdtContent>
      <w:p w14:paraId="5C7B8258" w14:textId="77777777" w:rsidR="00F938D8" w:rsidRDefault="00F938D8" w:rsidP="00C355C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9444B74" w14:textId="77777777" w:rsidR="00F938D8" w:rsidRDefault="00F938D8" w:rsidP="003F10E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550FF" w14:textId="77777777" w:rsidR="00816B2B" w:rsidRDefault="00816B2B" w:rsidP="003F10ED">
      <w:r>
        <w:separator/>
      </w:r>
    </w:p>
  </w:footnote>
  <w:footnote w:type="continuationSeparator" w:id="0">
    <w:p w14:paraId="3E20704F" w14:textId="77777777" w:rsidR="00816B2B" w:rsidRDefault="00816B2B" w:rsidP="003F10ED">
      <w:r>
        <w:continuationSeparator/>
      </w:r>
    </w:p>
  </w:footnote>
  <w:footnote w:type="continuationNotice" w:id="1">
    <w:p w14:paraId="67FC98D2" w14:textId="77777777" w:rsidR="00816B2B" w:rsidRDefault="00816B2B"/>
  </w:footnote>
  <w:footnote w:id="2">
    <w:p w14:paraId="3A9FDF74" w14:textId="23BD915A" w:rsidR="00D54D8D" w:rsidRDefault="00D54D8D" w:rsidP="00546065">
      <w:pPr>
        <w:jc w:val="both"/>
        <w:rPr>
          <w:rFonts w:ascii="Calibri" w:hAnsi="Calibri" w:cs="Calibri"/>
          <w:sz w:val="18"/>
          <w:szCs w:val="18"/>
          <w:lang w:val="en-US"/>
        </w:rPr>
      </w:pPr>
      <w:r w:rsidRPr="00650689">
        <w:rPr>
          <w:rFonts w:ascii="Calibri" w:hAnsi="Calibri" w:cs="Calibri"/>
          <w:sz w:val="18"/>
          <w:szCs w:val="18"/>
          <w:lang w:val="en-US"/>
        </w:rPr>
        <w:t xml:space="preserve">* Sibel Top is a PhD Student, </w:t>
      </w:r>
      <w:r w:rsidR="004B3047" w:rsidRPr="00650689">
        <w:rPr>
          <w:rFonts w:ascii="Calibri" w:hAnsi="Calibri" w:cs="Calibri"/>
          <w:sz w:val="18"/>
          <w:szCs w:val="18"/>
          <w:lang w:val="en-US"/>
        </w:rPr>
        <w:t>F</w:t>
      </w:r>
      <w:r w:rsidR="004B3047">
        <w:rPr>
          <w:rFonts w:ascii="Calibri" w:hAnsi="Calibri" w:cs="Calibri"/>
          <w:sz w:val="18"/>
          <w:szCs w:val="18"/>
          <w:lang w:val="en-US"/>
        </w:rPr>
        <w:t>WO</w:t>
      </w:r>
      <w:r w:rsidR="004B3047" w:rsidRPr="00650689">
        <w:rPr>
          <w:rFonts w:ascii="Calibri" w:hAnsi="Calibri" w:cs="Calibri"/>
          <w:sz w:val="18"/>
          <w:szCs w:val="18"/>
          <w:lang w:val="en-US"/>
        </w:rPr>
        <w:t xml:space="preserve"> </w:t>
      </w:r>
      <w:r w:rsidRPr="00650689">
        <w:rPr>
          <w:rFonts w:ascii="Calibri" w:hAnsi="Calibri" w:cs="Calibri"/>
          <w:sz w:val="18"/>
          <w:szCs w:val="18"/>
          <w:lang w:val="en-US"/>
        </w:rPr>
        <w:t xml:space="preserve">Fellow, at the Vrije Universiteit Brussels and Paul De </w:t>
      </w:r>
      <w:proofErr w:type="spellStart"/>
      <w:r w:rsidRPr="00650689">
        <w:rPr>
          <w:rFonts w:ascii="Calibri" w:hAnsi="Calibri" w:cs="Calibri"/>
          <w:sz w:val="18"/>
          <w:szCs w:val="18"/>
          <w:lang w:val="en-US"/>
        </w:rPr>
        <w:t>Hert</w:t>
      </w:r>
      <w:proofErr w:type="spellEnd"/>
      <w:r w:rsidRPr="00650689">
        <w:rPr>
          <w:rFonts w:ascii="Calibri" w:hAnsi="Calibri" w:cs="Calibri"/>
          <w:sz w:val="18"/>
          <w:szCs w:val="18"/>
          <w:lang w:val="en-US"/>
        </w:rPr>
        <w:t xml:space="preserve"> is a Professor at the Vrije Universiteit Brussels and at the University of Tilburg</w:t>
      </w:r>
      <w:r w:rsidR="004B3047">
        <w:rPr>
          <w:rFonts w:ascii="Calibri" w:hAnsi="Calibri" w:cs="Calibri"/>
          <w:sz w:val="18"/>
          <w:szCs w:val="18"/>
          <w:lang w:val="en-US"/>
        </w:rPr>
        <w:t>.</w:t>
      </w:r>
    </w:p>
    <w:p w14:paraId="01A0668B" w14:textId="6E123371" w:rsidR="00326A35" w:rsidRPr="00650689" w:rsidRDefault="00326A35" w:rsidP="00546065">
      <w:pPr>
        <w:jc w:val="both"/>
        <w:rPr>
          <w:rFonts w:ascii="Calibri" w:hAnsi="Calibri" w:cs="Calibri"/>
          <w:sz w:val="18"/>
          <w:szCs w:val="18"/>
          <w:lang w:val="en-US"/>
        </w:rPr>
      </w:pPr>
      <w:r w:rsidRPr="00650689">
        <w:rPr>
          <w:rFonts w:ascii="Calibri" w:hAnsi="Calibri" w:cs="Calibri"/>
          <w:sz w:val="18"/>
          <w:szCs w:val="18"/>
          <w:lang w:val="en-US"/>
        </w:rPr>
        <w:t xml:space="preserve">** The authors </w:t>
      </w:r>
      <w:r w:rsidR="006C10E9">
        <w:rPr>
          <w:rFonts w:ascii="Calibri" w:hAnsi="Calibri" w:cs="Calibri"/>
          <w:sz w:val="18"/>
          <w:szCs w:val="18"/>
          <w:lang w:val="en-US"/>
        </w:rPr>
        <w:t>are grateful</w:t>
      </w:r>
      <w:r w:rsidR="00D010E8">
        <w:rPr>
          <w:rFonts w:ascii="Calibri" w:hAnsi="Calibri" w:cs="Calibri"/>
          <w:sz w:val="18"/>
          <w:szCs w:val="18"/>
          <w:lang w:val="en-US"/>
        </w:rPr>
        <w:t xml:space="preserve"> to</w:t>
      </w:r>
      <w:r>
        <w:rPr>
          <w:rFonts w:ascii="Calibri" w:hAnsi="Calibri" w:cs="Calibri"/>
          <w:sz w:val="18"/>
          <w:szCs w:val="18"/>
          <w:lang w:val="en-US"/>
        </w:rPr>
        <w:t xml:space="preserve"> Dr. Irene </w:t>
      </w:r>
      <w:proofErr w:type="spellStart"/>
      <w:r>
        <w:rPr>
          <w:rFonts w:ascii="Calibri" w:hAnsi="Calibri" w:cs="Calibri"/>
          <w:sz w:val="18"/>
          <w:szCs w:val="18"/>
          <w:lang w:val="en-US"/>
        </w:rPr>
        <w:t>Wieczorek</w:t>
      </w:r>
      <w:proofErr w:type="spellEnd"/>
      <w:r>
        <w:rPr>
          <w:rFonts w:ascii="Calibri" w:hAnsi="Calibri" w:cs="Calibri"/>
          <w:sz w:val="18"/>
          <w:szCs w:val="18"/>
          <w:lang w:val="en-US"/>
        </w:rPr>
        <w:t xml:space="preserve"> for her </w:t>
      </w:r>
      <w:r w:rsidR="006D2544">
        <w:rPr>
          <w:rFonts w:ascii="Calibri" w:hAnsi="Calibri" w:cs="Calibri"/>
          <w:sz w:val="18"/>
          <w:szCs w:val="18"/>
          <w:lang w:val="en-US"/>
        </w:rPr>
        <w:t>insightful</w:t>
      </w:r>
      <w:r>
        <w:rPr>
          <w:rFonts w:ascii="Calibri" w:hAnsi="Calibri" w:cs="Calibri"/>
          <w:sz w:val="18"/>
          <w:szCs w:val="18"/>
          <w:lang w:val="en-US"/>
        </w:rPr>
        <w:t xml:space="preserve"> review and comments that helped to improve this contribution. </w:t>
      </w:r>
    </w:p>
    <w:p w14:paraId="1BFCC542" w14:textId="06365B20" w:rsidR="00032523" w:rsidRPr="00650689" w:rsidRDefault="00032523" w:rsidP="00650689">
      <w:pPr>
        <w:pStyle w:val="Notedebasdepage"/>
        <w:rPr>
          <w:lang w:val="en-US"/>
        </w:rPr>
      </w:pPr>
      <w:r>
        <w:rPr>
          <w:rStyle w:val="Appelnotedebasdep"/>
        </w:rPr>
        <w:footnoteRef/>
      </w:r>
      <w:r w:rsidRPr="00650689">
        <w:rPr>
          <w:lang w:val="en-US"/>
        </w:rPr>
        <w:t xml:space="preserve"> </w:t>
      </w:r>
      <w:r w:rsidRPr="00650689">
        <w:rPr>
          <w:rFonts w:ascii="Calibri" w:hAnsi="Calibri"/>
          <w:lang w:val="en-US"/>
        </w:rPr>
        <w:t xml:space="preserve">Council of Europe, </w:t>
      </w:r>
      <w:r>
        <w:rPr>
          <w:rFonts w:ascii="Calibri" w:hAnsi="Calibri" w:cs="Calibri"/>
          <w:lang w:val="en-US"/>
        </w:rPr>
        <w:t>Convention</w:t>
      </w:r>
      <w:r w:rsidRPr="00094D59">
        <w:rPr>
          <w:rFonts w:ascii="Calibri" w:hAnsi="Calibri" w:cs="Calibri"/>
          <w:lang w:val="en-US"/>
        </w:rPr>
        <w:t xml:space="preserve"> </w:t>
      </w:r>
      <w:r w:rsidRPr="00650689">
        <w:rPr>
          <w:rFonts w:ascii="Calibri" w:hAnsi="Calibri" w:cs="Calibri"/>
          <w:lang w:val="en-US"/>
        </w:rPr>
        <w:t>for</w:t>
      </w:r>
      <w:r w:rsidRPr="00650689">
        <w:rPr>
          <w:rFonts w:ascii="Calibri" w:hAnsi="Calibri"/>
          <w:lang w:val="en-US"/>
        </w:rPr>
        <w:t xml:space="preserve"> the Protection of Human Rights and Fundamental Freedoms 04 November 1950, ETS 005</w:t>
      </w:r>
    </w:p>
  </w:footnote>
  <w:footnote w:id="3">
    <w:p w14:paraId="58CEA4F6" w14:textId="045D5719" w:rsidR="00F938D8" w:rsidRPr="00F938D8" w:rsidRDefault="00F938D8" w:rsidP="007114FD">
      <w:pPr>
        <w:pStyle w:val="Notedebasdepage"/>
        <w:jc w:val="both"/>
        <w:rPr>
          <w:lang w:val="en-US"/>
        </w:rPr>
      </w:pPr>
      <w:r>
        <w:rPr>
          <w:rStyle w:val="Appelnotedebasdep"/>
        </w:rPr>
        <w:footnoteRef/>
      </w:r>
      <w:r w:rsidRPr="00F938D8">
        <w:rPr>
          <w:lang w:val="en-US"/>
        </w:rPr>
        <w:t xml:space="preserve"> </w:t>
      </w:r>
      <w:proofErr w:type="spellStart"/>
      <w:r w:rsidRPr="00533D7F">
        <w:rPr>
          <w:rFonts w:cstheme="minorHAnsi"/>
          <w:i/>
          <w:iCs/>
          <w:color w:val="000000" w:themeColor="text1"/>
          <w:lang w:val="en-US"/>
        </w:rPr>
        <w:t>Soering</w:t>
      </w:r>
      <w:proofErr w:type="spellEnd"/>
      <w:r w:rsidRPr="00533D7F">
        <w:rPr>
          <w:rFonts w:cstheme="minorHAnsi"/>
          <w:i/>
          <w:iCs/>
          <w:color w:val="000000" w:themeColor="text1"/>
          <w:lang w:val="en-US"/>
        </w:rPr>
        <w:t xml:space="preserve"> v UK</w:t>
      </w:r>
      <w:r w:rsidRPr="00533D7F">
        <w:rPr>
          <w:rFonts w:cstheme="minorHAnsi"/>
          <w:color w:val="000000" w:themeColor="text1"/>
          <w:lang w:val="en-US"/>
        </w:rPr>
        <w:t>, App no 14038/88 (ECtHR 7 July 1989)</w:t>
      </w:r>
      <w:r w:rsidRPr="00533D7F">
        <w:rPr>
          <w:rFonts w:cstheme="minorHAnsi"/>
          <w:lang w:val="en-US"/>
        </w:rPr>
        <w:t>.</w:t>
      </w:r>
    </w:p>
  </w:footnote>
  <w:footnote w:id="4">
    <w:p w14:paraId="2D037FA5" w14:textId="1353DC2B" w:rsidR="00F938D8" w:rsidRPr="00F938D8" w:rsidRDefault="00F938D8" w:rsidP="007755E0">
      <w:pPr>
        <w:pStyle w:val="Notedebasdepage"/>
        <w:jc w:val="both"/>
        <w:rPr>
          <w:lang w:val="en-US"/>
        </w:rPr>
      </w:pPr>
      <w:r>
        <w:rPr>
          <w:rStyle w:val="Appelnotedebasdep"/>
        </w:rPr>
        <w:footnoteRef/>
      </w:r>
      <w:r w:rsidRPr="00F938D8">
        <w:rPr>
          <w:lang w:val="en-US"/>
        </w:rPr>
        <w:t xml:space="preserve"> </w:t>
      </w:r>
      <w:proofErr w:type="spellStart"/>
      <w:r w:rsidRPr="00533D7F">
        <w:rPr>
          <w:rFonts w:cstheme="minorHAnsi"/>
          <w:i/>
          <w:iCs/>
          <w:lang w:val="en-US"/>
        </w:rPr>
        <w:t>Güzelyurtlu</w:t>
      </w:r>
      <w:proofErr w:type="spellEnd"/>
      <w:r w:rsidRPr="00533D7F">
        <w:rPr>
          <w:rFonts w:cstheme="minorHAnsi"/>
          <w:i/>
          <w:iCs/>
          <w:lang w:val="en-US"/>
        </w:rPr>
        <w:t xml:space="preserve"> and Others v Cyprus and Turkey</w:t>
      </w:r>
      <w:r w:rsidRPr="00533D7F">
        <w:rPr>
          <w:rFonts w:cstheme="minorHAnsi"/>
          <w:lang w:val="en-US"/>
        </w:rPr>
        <w:t>, App no 36925/07 (ECtHR 29 January 2019).</w:t>
      </w:r>
    </w:p>
  </w:footnote>
  <w:footnote w:id="5">
    <w:p w14:paraId="1D7B2FD6" w14:textId="3623529D" w:rsidR="00F938D8" w:rsidRPr="00F938D8" w:rsidRDefault="00F938D8" w:rsidP="007755E0">
      <w:pPr>
        <w:pStyle w:val="Notedebasdepage"/>
        <w:jc w:val="both"/>
        <w:rPr>
          <w:lang w:val="en-US"/>
        </w:rPr>
      </w:pPr>
      <w:r>
        <w:rPr>
          <w:rStyle w:val="Appelnotedebasdep"/>
        </w:rPr>
        <w:footnoteRef/>
      </w:r>
      <w:r w:rsidRPr="00F938D8">
        <w:rPr>
          <w:lang w:val="en-US"/>
        </w:rPr>
        <w:t xml:space="preserve"> </w:t>
      </w:r>
      <w:r w:rsidRPr="00533D7F">
        <w:rPr>
          <w:rFonts w:cstheme="minorHAnsi"/>
          <w:i/>
          <w:iCs/>
          <w:lang w:val="en-US"/>
        </w:rPr>
        <w:t>Romeo Casta</w:t>
      </w:r>
      <w:r w:rsidRPr="00533D7F">
        <w:rPr>
          <w:rStyle w:val="Accentuation"/>
          <w:rFonts w:cstheme="minorHAnsi"/>
          <w:color w:val="000000" w:themeColor="text1"/>
          <w:lang w:val="en-US"/>
        </w:rPr>
        <w:t>ñ</w:t>
      </w:r>
      <w:r w:rsidRPr="00533D7F">
        <w:rPr>
          <w:rStyle w:val="Accentuation"/>
          <w:rFonts w:eastAsiaTheme="majorEastAsia" w:cstheme="minorHAnsi"/>
          <w:color w:val="000000" w:themeColor="text1"/>
          <w:lang w:val="en-US"/>
        </w:rPr>
        <w:t>o</w:t>
      </w:r>
      <w:r w:rsidRPr="00533D7F">
        <w:rPr>
          <w:rStyle w:val="Accentuation"/>
          <w:rFonts w:eastAsiaTheme="majorEastAsia" w:cstheme="minorHAnsi"/>
          <w:i w:val="0"/>
          <w:iCs w:val="0"/>
          <w:color w:val="000000" w:themeColor="text1"/>
          <w:lang w:val="en-US"/>
        </w:rPr>
        <w:t xml:space="preserve"> </w:t>
      </w:r>
      <w:r w:rsidRPr="00533D7F">
        <w:rPr>
          <w:rStyle w:val="Accentuation"/>
          <w:rFonts w:eastAsiaTheme="majorEastAsia" w:cstheme="minorHAnsi"/>
          <w:color w:val="000000" w:themeColor="text1"/>
          <w:lang w:val="en-US"/>
        </w:rPr>
        <w:t>v Belgium</w:t>
      </w:r>
      <w:r w:rsidRPr="00533D7F">
        <w:rPr>
          <w:rStyle w:val="Accentuation"/>
          <w:rFonts w:eastAsiaTheme="majorEastAsia" w:cstheme="minorHAnsi"/>
          <w:i w:val="0"/>
          <w:iCs w:val="0"/>
          <w:color w:val="000000" w:themeColor="text1"/>
          <w:lang w:val="en-US"/>
        </w:rPr>
        <w:t>, App no</w:t>
      </w:r>
      <w:r w:rsidRPr="00533D7F">
        <w:rPr>
          <w:rFonts w:cstheme="minorHAnsi"/>
          <w:lang w:val="en-US"/>
        </w:rPr>
        <w:t xml:space="preserve"> 8351/17 (ECtHR 9 October 2019)</w:t>
      </w:r>
      <w:r w:rsidR="00CC220D">
        <w:rPr>
          <w:rFonts w:cstheme="minorHAnsi"/>
          <w:lang w:val="en-US"/>
        </w:rPr>
        <w:t>.</w:t>
      </w:r>
    </w:p>
  </w:footnote>
  <w:footnote w:id="6">
    <w:p w14:paraId="22355B91" w14:textId="64623A54" w:rsidR="00311F56" w:rsidRPr="00650689" w:rsidRDefault="00311F56">
      <w:pPr>
        <w:pStyle w:val="Notedebasdepage"/>
        <w:rPr>
          <w:lang w:val="en-US"/>
        </w:rPr>
      </w:pPr>
      <w:r>
        <w:rPr>
          <w:rStyle w:val="Appelnotedebasdep"/>
        </w:rPr>
        <w:footnoteRef/>
      </w:r>
      <w:r w:rsidRPr="00650689">
        <w:rPr>
          <w:lang w:val="en-US"/>
        </w:rPr>
        <w:t xml:space="preserve"> </w:t>
      </w:r>
      <w:r>
        <w:rPr>
          <w:lang w:val="en-US"/>
        </w:rPr>
        <w:t>Council of Europe, European Convention on Extradition, 13 December 1957, ETS 024.</w:t>
      </w:r>
    </w:p>
  </w:footnote>
  <w:footnote w:id="7">
    <w:p w14:paraId="7B73E1D3" w14:textId="1250F9B8" w:rsidR="000C3949" w:rsidRPr="00533D7F" w:rsidRDefault="000C3949" w:rsidP="007114FD">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M </w:t>
      </w:r>
      <w:proofErr w:type="spellStart"/>
      <w:r w:rsidRPr="00533D7F">
        <w:rPr>
          <w:rFonts w:cstheme="minorHAnsi"/>
          <w:lang w:val="en-US"/>
        </w:rPr>
        <w:t>Wasmeier</w:t>
      </w:r>
      <w:proofErr w:type="spellEnd"/>
      <w:r w:rsidRPr="00533D7F">
        <w:rPr>
          <w:rFonts w:cstheme="minorHAnsi"/>
          <w:lang w:val="en-US"/>
        </w:rPr>
        <w:t>, ‘The principle of Ne bis in Idem’ (2006)</w:t>
      </w:r>
      <w:r w:rsidRPr="000846A3">
        <w:rPr>
          <w:rFonts w:cstheme="minorHAnsi"/>
          <w:lang w:val="en-US"/>
        </w:rPr>
        <w:t xml:space="preserve"> </w:t>
      </w:r>
      <w:r w:rsidRPr="00533D7F">
        <w:rPr>
          <w:rFonts w:cstheme="minorHAnsi"/>
          <w:lang w:val="en-US"/>
        </w:rPr>
        <w:t>77 RIDP</w:t>
      </w:r>
      <w:r>
        <w:rPr>
          <w:rFonts w:cstheme="minorHAnsi"/>
          <w:lang w:val="en-US"/>
        </w:rPr>
        <w:t xml:space="preserve"> 121,</w:t>
      </w:r>
      <w:r w:rsidRPr="00533D7F">
        <w:rPr>
          <w:rFonts w:cstheme="minorHAnsi"/>
          <w:lang w:val="en-US"/>
        </w:rPr>
        <w:t xml:space="preserve"> 121.</w:t>
      </w:r>
    </w:p>
  </w:footnote>
  <w:footnote w:id="8">
    <w:p w14:paraId="27AB6825" w14:textId="77777777" w:rsidR="000C3949" w:rsidRPr="00533D7F" w:rsidRDefault="000C3949" w:rsidP="007755E0">
      <w:pPr>
        <w:jc w:val="both"/>
        <w:rPr>
          <w:rFonts w:asciiTheme="minorHAnsi" w:hAnsiTheme="minorHAnsi" w:cstheme="minorHAnsi"/>
          <w:sz w:val="20"/>
          <w:szCs w:val="20"/>
          <w:lang w:val="en-US"/>
        </w:rPr>
      </w:pPr>
      <w:r w:rsidRPr="00533D7F">
        <w:rPr>
          <w:rStyle w:val="Appelnotedebasdep"/>
          <w:rFonts w:asciiTheme="minorHAnsi" w:hAnsiTheme="minorHAnsi" w:cstheme="minorHAnsi"/>
          <w:color w:val="000000" w:themeColor="text1"/>
          <w:sz w:val="20"/>
          <w:szCs w:val="20"/>
        </w:rPr>
        <w:footnoteRef/>
      </w:r>
      <w:r w:rsidRPr="00533D7F">
        <w:rPr>
          <w:rFonts w:asciiTheme="minorHAnsi" w:hAnsiTheme="minorHAnsi" w:cstheme="minorHAnsi"/>
          <w:color w:val="000000" w:themeColor="text1"/>
          <w:sz w:val="20"/>
          <w:szCs w:val="20"/>
          <w:lang w:val="en-US"/>
        </w:rPr>
        <w:t xml:space="preserve"> Although the additional protocol to the European Convention on Extradition does say that the extradition can take place, even for a </w:t>
      </w:r>
      <w:r w:rsidRPr="00533D7F">
        <w:rPr>
          <w:rFonts w:asciiTheme="minorHAnsi" w:hAnsiTheme="minorHAnsi" w:cstheme="minorHAnsi"/>
          <w:color w:val="000000" w:themeColor="text1"/>
          <w:sz w:val="20"/>
          <w:szCs w:val="20"/>
          <w:shd w:val="clear" w:color="auto" w:fill="FFFFFF"/>
          <w:lang w:val="en-US"/>
        </w:rPr>
        <w:t>person against whom a final judgment has been passed, if “ the offence in respect of which judgment has been rendered was committed against a person, an institution or anything having public status in the requesting State</w:t>
      </w:r>
      <w:r w:rsidRPr="00533D7F">
        <w:rPr>
          <w:rFonts w:asciiTheme="minorHAnsi" w:hAnsiTheme="minorHAnsi" w:cstheme="minorHAnsi"/>
          <w:color w:val="000000" w:themeColor="text1"/>
          <w:sz w:val="20"/>
          <w:szCs w:val="20"/>
          <w:lang w:val="en-US"/>
        </w:rPr>
        <w:t xml:space="preserve">; </w:t>
      </w:r>
      <w:r w:rsidRPr="00533D7F">
        <w:rPr>
          <w:rFonts w:asciiTheme="minorHAnsi" w:hAnsiTheme="minorHAnsi" w:cstheme="minorHAnsi"/>
          <w:color w:val="000000" w:themeColor="text1"/>
          <w:sz w:val="20"/>
          <w:szCs w:val="20"/>
          <w:shd w:val="clear" w:color="auto" w:fill="FFFFFF"/>
          <w:lang w:val="en-US"/>
        </w:rPr>
        <w:t xml:space="preserve">if the person on whom judgment was passed had himself a public status in the requesting State; if the offence in respect of which judgment was passed was committed completely or partly in the territory of the requesting State or in a place treated as its territory”. So, the protection of people from the </w:t>
      </w:r>
      <w:proofErr w:type="spellStart"/>
      <w:r w:rsidRPr="00533D7F">
        <w:rPr>
          <w:rFonts w:asciiTheme="minorHAnsi" w:hAnsiTheme="minorHAnsi" w:cstheme="minorHAnsi"/>
          <w:i/>
          <w:iCs/>
          <w:color w:val="000000" w:themeColor="text1"/>
          <w:sz w:val="20"/>
          <w:szCs w:val="20"/>
          <w:shd w:val="clear" w:color="auto" w:fill="FFFFFF"/>
          <w:lang w:val="en-US"/>
        </w:rPr>
        <w:t>ius</w:t>
      </w:r>
      <w:proofErr w:type="spellEnd"/>
      <w:r w:rsidRPr="00533D7F">
        <w:rPr>
          <w:rFonts w:asciiTheme="minorHAnsi" w:hAnsiTheme="minorHAnsi" w:cstheme="minorHAnsi"/>
          <w:i/>
          <w:iCs/>
          <w:color w:val="000000" w:themeColor="text1"/>
          <w:sz w:val="20"/>
          <w:szCs w:val="20"/>
          <w:shd w:val="clear" w:color="auto" w:fill="FFFFFF"/>
          <w:lang w:val="en-US"/>
        </w:rPr>
        <w:t xml:space="preserve"> </w:t>
      </w:r>
      <w:proofErr w:type="spellStart"/>
      <w:r w:rsidRPr="00533D7F">
        <w:rPr>
          <w:rFonts w:asciiTheme="minorHAnsi" w:hAnsiTheme="minorHAnsi" w:cstheme="minorHAnsi"/>
          <w:i/>
          <w:iCs/>
          <w:color w:val="000000" w:themeColor="text1"/>
          <w:sz w:val="20"/>
          <w:szCs w:val="20"/>
          <w:shd w:val="clear" w:color="auto" w:fill="FFFFFF"/>
          <w:lang w:val="en-US"/>
        </w:rPr>
        <w:t>puniendi</w:t>
      </w:r>
      <w:proofErr w:type="spellEnd"/>
      <w:r w:rsidRPr="00533D7F">
        <w:rPr>
          <w:rFonts w:asciiTheme="minorHAnsi" w:hAnsiTheme="minorHAnsi" w:cstheme="minorHAnsi"/>
          <w:color w:val="000000" w:themeColor="text1"/>
          <w:sz w:val="20"/>
          <w:szCs w:val="20"/>
          <w:shd w:val="clear" w:color="auto" w:fill="FFFFFF"/>
          <w:lang w:val="en-US"/>
        </w:rPr>
        <w:t xml:space="preserve"> of the states is only valid as long as these people do not attack the states’ special interests. Council of Europe, Additional Protocol to the European Convention on Extradition, 15 October 1975, ETS 86, art.2.</w:t>
      </w:r>
    </w:p>
  </w:footnote>
  <w:footnote w:id="9">
    <w:p w14:paraId="75C71D18" w14:textId="0D3E85ED" w:rsidR="000C3949" w:rsidRPr="00533D7F" w:rsidRDefault="000C3949" w:rsidP="007114FD">
      <w:pPr>
        <w:autoSpaceDE w:val="0"/>
        <w:autoSpaceDN w:val="0"/>
        <w:adjustRightInd w:val="0"/>
        <w:jc w:val="both"/>
        <w:rPr>
          <w:rFonts w:asciiTheme="minorHAnsi" w:hAnsiTheme="minorHAnsi" w:cstheme="minorHAnsi"/>
          <w:sz w:val="20"/>
          <w:szCs w:val="20"/>
          <w:lang w:val="en-US"/>
        </w:rPr>
      </w:pPr>
      <w:r w:rsidRPr="00533D7F">
        <w:rPr>
          <w:rStyle w:val="Appelnotedebasdep"/>
          <w:rFonts w:asciiTheme="minorHAnsi" w:hAnsiTheme="minorHAnsi" w:cstheme="minorHAnsi"/>
          <w:sz w:val="20"/>
          <w:szCs w:val="20"/>
        </w:rPr>
        <w:footnoteRef/>
      </w:r>
      <w:r w:rsidRPr="00533D7F">
        <w:rPr>
          <w:rFonts w:asciiTheme="minorHAnsi" w:hAnsiTheme="minorHAnsi" w:cstheme="minorHAnsi"/>
          <w:sz w:val="20"/>
          <w:szCs w:val="20"/>
          <w:lang w:val="en-US"/>
        </w:rPr>
        <w:t xml:space="preserve"> </w:t>
      </w:r>
      <w:r w:rsidRPr="00533D7F">
        <w:rPr>
          <w:rFonts w:asciiTheme="minorHAnsi" w:eastAsiaTheme="minorHAnsi" w:hAnsiTheme="minorHAnsi" w:cstheme="minorHAnsi"/>
          <w:sz w:val="20"/>
          <w:szCs w:val="20"/>
          <w:lang w:val="en-US" w:eastAsia="en-US"/>
        </w:rPr>
        <w:t xml:space="preserve">J </w:t>
      </w:r>
      <w:proofErr w:type="gramStart"/>
      <w:r w:rsidR="000B2DDF">
        <w:rPr>
          <w:rFonts w:asciiTheme="minorHAnsi" w:eastAsiaTheme="minorHAnsi" w:hAnsiTheme="minorHAnsi" w:cstheme="minorHAnsi"/>
          <w:sz w:val="20"/>
          <w:szCs w:val="20"/>
          <w:lang w:val="en-US" w:eastAsia="en-US"/>
        </w:rPr>
        <w:t>A</w:t>
      </w:r>
      <w:proofErr w:type="gramEnd"/>
      <w:r w:rsidR="000B2DDF">
        <w:rPr>
          <w:rFonts w:asciiTheme="minorHAnsi" w:eastAsiaTheme="minorHAnsi" w:hAnsiTheme="minorHAnsi" w:cstheme="minorHAnsi"/>
          <w:sz w:val="20"/>
          <w:szCs w:val="20"/>
          <w:lang w:val="en-US" w:eastAsia="en-US"/>
        </w:rPr>
        <w:t xml:space="preserve"> </w:t>
      </w:r>
      <w:r w:rsidRPr="00533D7F">
        <w:rPr>
          <w:rFonts w:asciiTheme="minorHAnsi" w:eastAsiaTheme="minorHAnsi" w:hAnsiTheme="minorHAnsi" w:cstheme="minorHAnsi"/>
          <w:sz w:val="20"/>
          <w:szCs w:val="20"/>
          <w:lang w:val="en-US" w:eastAsia="en-US"/>
        </w:rPr>
        <w:t xml:space="preserve">E </w:t>
      </w:r>
      <w:proofErr w:type="spellStart"/>
      <w:r w:rsidRPr="00533D7F">
        <w:rPr>
          <w:rFonts w:asciiTheme="minorHAnsi" w:eastAsiaTheme="minorHAnsi" w:hAnsiTheme="minorHAnsi" w:cstheme="minorHAnsi"/>
          <w:sz w:val="20"/>
          <w:szCs w:val="20"/>
          <w:lang w:val="en-US" w:eastAsia="en-US"/>
        </w:rPr>
        <w:t>Vervaele</w:t>
      </w:r>
      <w:proofErr w:type="spellEnd"/>
      <w:r w:rsidRPr="00533D7F">
        <w:rPr>
          <w:rFonts w:asciiTheme="minorHAnsi" w:hAnsiTheme="minorHAnsi" w:cstheme="minorHAnsi"/>
          <w:sz w:val="20"/>
          <w:szCs w:val="20"/>
          <w:lang w:val="en-US"/>
        </w:rPr>
        <w:t>, ‘The transnational ne bis in idem principle in the EU Mutual recognition and equivalent protection of human rights’ (2005)</w:t>
      </w:r>
      <w:r>
        <w:rPr>
          <w:rFonts w:asciiTheme="minorHAnsi" w:hAnsiTheme="minorHAnsi" w:cstheme="minorHAnsi"/>
          <w:sz w:val="20"/>
          <w:szCs w:val="20"/>
          <w:lang w:val="en-US"/>
        </w:rPr>
        <w:t xml:space="preserve"> 1 </w:t>
      </w:r>
      <w:r w:rsidRPr="00533D7F">
        <w:rPr>
          <w:rFonts w:asciiTheme="minorHAnsi" w:hAnsiTheme="minorHAnsi" w:cstheme="minorHAnsi"/>
          <w:sz w:val="20"/>
          <w:szCs w:val="20"/>
          <w:lang w:val="en-US"/>
        </w:rPr>
        <w:t xml:space="preserve">Utrecht Law Rev. </w:t>
      </w:r>
      <w:r>
        <w:rPr>
          <w:rFonts w:asciiTheme="minorHAnsi" w:hAnsiTheme="minorHAnsi" w:cstheme="minorHAnsi"/>
          <w:sz w:val="20"/>
          <w:szCs w:val="20"/>
          <w:lang w:val="en-US"/>
        </w:rPr>
        <w:t>100</w:t>
      </w:r>
      <w:r w:rsidRPr="00533D7F">
        <w:rPr>
          <w:rFonts w:asciiTheme="minorHAnsi" w:hAnsiTheme="minorHAnsi" w:cstheme="minorHAnsi"/>
          <w:sz w:val="20"/>
          <w:szCs w:val="20"/>
          <w:lang w:val="en-US"/>
        </w:rPr>
        <w:t>, 100.</w:t>
      </w:r>
    </w:p>
  </w:footnote>
  <w:footnote w:id="10">
    <w:p w14:paraId="36B92CC3" w14:textId="77777777" w:rsidR="000C3949" w:rsidRPr="00533D7F" w:rsidRDefault="000C3949" w:rsidP="007114FD">
      <w:pPr>
        <w:jc w:val="both"/>
        <w:rPr>
          <w:rFonts w:asciiTheme="minorHAnsi" w:hAnsiTheme="minorHAnsi" w:cstheme="minorHAnsi"/>
          <w:sz w:val="20"/>
          <w:szCs w:val="20"/>
          <w:lang w:val="en-US"/>
        </w:rPr>
      </w:pPr>
      <w:r w:rsidRPr="00533D7F">
        <w:rPr>
          <w:rStyle w:val="Appelnotedebasdep"/>
          <w:rFonts w:asciiTheme="minorHAnsi" w:hAnsiTheme="minorHAnsi" w:cstheme="minorHAnsi"/>
          <w:color w:val="000000" w:themeColor="text1"/>
          <w:sz w:val="20"/>
          <w:szCs w:val="20"/>
        </w:rPr>
        <w:footnoteRef/>
      </w:r>
      <w:r w:rsidRPr="00533D7F">
        <w:rPr>
          <w:rFonts w:asciiTheme="minorHAnsi" w:hAnsiTheme="minorHAnsi" w:cstheme="minorHAnsi"/>
          <w:color w:val="000000" w:themeColor="text1"/>
          <w:sz w:val="20"/>
          <w:szCs w:val="20"/>
          <w:lang w:val="en-US"/>
        </w:rPr>
        <w:t xml:space="preserve"> Council of Europe, </w:t>
      </w:r>
      <w:r w:rsidRPr="00533D7F">
        <w:rPr>
          <w:rFonts w:asciiTheme="minorHAnsi" w:hAnsiTheme="minorHAnsi" w:cstheme="minorHAnsi"/>
          <w:color w:val="000000" w:themeColor="text1"/>
          <w:sz w:val="20"/>
          <w:szCs w:val="20"/>
          <w:shd w:val="clear" w:color="auto" w:fill="FFFFFF"/>
          <w:lang w:val="en-US"/>
        </w:rPr>
        <w:t>Protocol No. 7 to the Convention for the Protection of Human Rights and Fundamental Freedoms, 22 November 1984, ETS 117, art. 4.</w:t>
      </w:r>
    </w:p>
  </w:footnote>
  <w:footnote w:id="11">
    <w:p w14:paraId="0CD379EC" w14:textId="77777777" w:rsidR="007114FD" w:rsidRPr="00533D7F" w:rsidRDefault="007114FD" w:rsidP="007114FD">
      <w:pPr>
        <w:pStyle w:val="Notedebasdepage"/>
        <w:rPr>
          <w:rFonts w:cstheme="minorHAnsi"/>
          <w:lang w:val="en-US"/>
        </w:rPr>
      </w:pPr>
      <w:r w:rsidRPr="00533D7F">
        <w:rPr>
          <w:rStyle w:val="Appelnotedebasdep"/>
          <w:rFonts w:cstheme="minorHAnsi"/>
        </w:rPr>
        <w:footnoteRef/>
      </w:r>
      <w:r w:rsidRPr="00533D7F">
        <w:rPr>
          <w:rFonts w:cstheme="minorHAnsi"/>
          <w:lang w:val="en-US"/>
        </w:rPr>
        <w:t xml:space="preserve"> European Court of Human Rights, ‘Factsheet – Right not to be tried or punished twice (the </w:t>
      </w:r>
      <w:r w:rsidRPr="00533D7F">
        <w:rPr>
          <w:rFonts w:cstheme="minorHAnsi"/>
          <w:i/>
          <w:iCs/>
          <w:lang w:val="en-US"/>
        </w:rPr>
        <w:t>in idem</w:t>
      </w:r>
      <w:r w:rsidRPr="00533D7F">
        <w:rPr>
          <w:rFonts w:cstheme="minorHAnsi"/>
          <w:lang w:val="en-US"/>
        </w:rPr>
        <w:t xml:space="preserve"> principle)’ (July 2020) &lt;https://www.echr.coe.int/Documents/FS_Non_bis_in_idem_ENG.pdf&gt; Accessed 1 September 2020.</w:t>
      </w:r>
    </w:p>
  </w:footnote>
  <w:footnote w:id="12">
    <w:p w14:paraId="78F6FDD1" w14:textId="77777777" w:rsidR="000C3949" w:rsidRPr="00533D7F" w:rsidRDefault="000C3949" w:rsidP="007114FD">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Council of Europe, ‘Chart of signatures and ratifications of Treaty 117’ (Status as of 31 August 2020) &lt;https://www.coe.int/en/web/conventions/full-list/-/conventions/treaty/117/signatures?p_auth=BZuc7XJZ&gt; Accessed 31 August 2020.</w:t>
      </w:r>
    </w:p>
  </w:footnote>
  <w:footnote w:id="13">
    <w:p w14:paraId="2652850C" w14:textId="6CF1EB16" w:rsidR="00F938D8" w:rsidRPr="00526F8A" w:rsidRDefault="00F938D8" w:rsidP="007114FD">
      <w:pPr>
        <w:pStyle w:val="NormalWeb"/>
        <w:spacing w:before="0" w:beforeAutospacing="0" w:after="0" w:afterAutospacing="0"/>
        <w:jc w:val="both"/>
        <w:rPr>
          <w:rFonts w:asciiTheme="minorHAnsi" w:hAnsiTheme="minorHAnsi" w:cstheme="minorHAnsi"/>
          <w:sz w:val="20"/>
          <w:szCs w:val="20"/>
          <w:lang w:val="en-GB"/>
        </w:rPr>
      </w:pPr>
      <w:r w:rsidRPr="00533D7F">
        <w:rPr>
          <w:rStyle w:val="Appelnotedebasdep"/>
          <w:rFonts w:asciiTheme="minorHAnsi" w:hAnsiTheme="minorHAnsi" w:cstheme="minorHAnsi"/>
          <w:sz w:val="20"/>
          <w:szCs w:val="20"/>
          <w:lang w:val="en-GB"/>
        </w:rPr>
        <w:footnoteRef/>
      </w:r>
      <w:r w:rsidRPr="00533D7F">
        <w:rPr>
          <w:rFonts w:asciiTheme="minorHAnsi" w:hAnsiTheme="minorHAnsi" w:cstheme="minorHAnsi"/>
          <w:sz w:val="20"/>
          <w:szCs w:val="20"/>
          <w:lang w:val="en-GB"/>
        </w:rPr>
        <w:t xml:space="preserve"> Parliamentary Assembly, </w:t>
      </w:r>
      <w:r w:rsidRPr="00533D7F">
        <w:rPr>
          <w:rFonts w:asciiTheme="minorHAnsi" w:hAnsiTheme="minorHAnsi" w:cstheme="minorHAnsi"/>
          <w:bCs/>
          <w:sz w:val="20"/>
          <w:szCs w:val="20"/>
          <w:lang w:val="en-GB"/>
        </w:rPr>
        <w:t>Committee on the Honouring of Obligations and Commitments by Member States of the Council of Europe (Monitoring Committee</w:t>
      </w:r>
      <w:r w:rsidRPr="00526F8A">
        <w:rPr>
          <w:rFonts w:asciiTheme="minorHAnsi" w:hAnsiTheme="minorHAnsi" w:cstheme="minorHAnsi"/>
          <w:bCs/>
          <w:sz w:val="20"/>
          <w:szCs w:val="20"/>
          <w:lang w:val="en-GB"/>
        </w:rPr>
        <w:t>)</w:t>
      </w:r>
      <w:r w:rsidRPr="00526F8A">
        <w:rPr>
          <w:rFonts w:asciiTheme="minorHAnsi" w:hAnsiTheme="minorHAnsi" w:cstheme="minorHAnsi"/>
          <w:sz w:val="20"/>
          <w:szCs w:val="20"/>
          <w:lang w:val="en-GB"/>
        </w:rPr>
        <w:t xml:space="preserve">, ‘The monitoring procedure of the Parliamentary Assembly’, </w:t>
      </w:r>
      <w:r w:rsidRPr="00526F8A">
        <w:rPr>
          <w:rFonts w:asciiTheme="minorHAnsi" w:hAnsiTheme="minorHAnsi" w:cstheme="minorHAnsi"/>
          <w:bCs/>
          <w:sz w:val="20"/>
          <w:szCs w:val="20"/>
          <w:lang w:val="en-GB"/>
        </w:rPr>
        <w:t>AS/Mon/</w:t>
      </w:r>
      <w:proofErr w:type="gramStart"/>
      <w:r w:rsidRPr="00526F8A">
        <w:rPr>
          <w:rFonts w:asciiTheme="minorHAnsi" w:hAnsiTheme="minorHAnsi" w:cstheme="minorHAnsi"/>
          <w:bCs/>
          <w:sz w:val="20"/>
          <w:szCs w:val="20"/>
          <w:lang w:val="en-GB"/>
        </w:rPr>
        <w:t>Inf(</w:t>
      </w:r>
      <w:proofErr w:type="gramEnd"/>
      <w:r w:rsidRPr="00526F8A">
        <w:rPr>
          <w:rFonts w:asciiTheme="minorHAnsi" w:hAnsiTheme="minorHAnsi" w:cstheme="minorHAnsi"/>
          <w:bCs/>
          <w:sz w:val="20"/>
          <w:szCs w:val="20"/>
          <w:lang w:val="en-GB"/>
        </w:rPr>
        <w:t>2017)03rev, 2017, 1.</w:t>
      </w:r>
    </w:p>
  </w:footnote>
  <w:footnote w:id="14">
    <w:p w14:paraId="46C6EB0F" w14:textId="2FFD44C5" w:rsidR="00F938D8" w:rsidRPr="00526F8A" w:rsidRDefault="00F938D8" w:rsidP="007755E0">
      <w:pPr>
        <w:pStyle w:val="Notedebasdepage"/>
        <w:jc w:val="both"/>
        <w:rPr>
          <w:rFonts w:cstheme="minorHAnsi"/>
          <w:lang w:val="en-US"/>
        </w:rPr>
      </w:pPr>
      <w:r w:rsidRPr="00526F8A">
        <w:rPr>
          <w:rStyle w:val="Appelnotedebasdep"/>
          <w:rFonts w:cstheme="minorHAnsi"/>
        </w:rPr>
        <w:footnoteRef/>
      </w:r>
      <w:r w:rsidRPr="00526F8A">
        <w:rPr>
          <w:rFonts w:cstheme="minorHAnsi"/>
          <w:lang w:val="en-US"/>
        </w:rPr>
        <w:t xml:space="preserve"> </w:t>
      </w:r>
      <w:r w:rsidRPr="00526F8A">
        <w:rPr>
          <w:rFonts w:cstheme="minorHAnsi"/>
          <w:color w:val="000000" w:themeColor="text1"/>
          <w:lang w:val="en-GB"/>
        </w:rPr>
        <w:t>Council of Europe, ‘Values’ &lt;https://www.coe.int/en/web/about-us/values&gt; accessed 1 September 2020.</w:t>
      </w:r>
    </w:p>
  </w:footnote>
  <w:footnote w:id="15">
    <w:p w14:paraId="63DFCCD2" w14:textId="1E7B3917" w:rsidR="00F938D8" w:rsidRPr="00526F8A" w:rsidRDefault="00F938D8" w:rsidP="007755E0">
      <w:pPr>
        <w:pStyle w:val="Notedebasdepage"/>
        <w:jc w:val="both"/>
        <w:rPr>
          <w:rFonts w:cstheme="minorHAnsi"/>
          <w:lang w:val="en-US"/>
        </w:rPr>
      </w:pPr>
      <w:r w:rsidRPr="00526F8A">
        <w:rPr>
          <w:rStyle w:val="Appelnotedebasdep"/>
          <w:rFonts w:cstheme="minorHAnsi"/>
        </w:rPr>
        <w:footnoteRef/>
      </w:r>
      <w:r w:rsidRPr="00526F8A">
        <w:rPr>
          <w:rFonts w:cstheme="minorHAnsi"/>
          <w:lang w:val="en-US"/>
        </w:rPr>
        <w:t xml:space="preserve"> N Subic, ‘Resisting a European Arrest Warrant: A social rights perspective’ (2020) 11 NJECL, 299.</w:t>
      </w:r>
    </w:p>
  </w:footnote>
  <w:footnote w:id="16">
    <w:p w14:paraId="1D376457" w14:textId="674D5740" w:rsidR="00F938D8" w:rsidRPr="00F938D8" w:rsidRDefault="00F938D8" w:rsidP="007114FD">
      <w:pPr>
        <w:pStyle w:val="Notedebasdepage"/>
        <w:jc w:val="both"/>
        <w:rPr>
          <w:lang w:val="nl-BE"/>
        </w:rPr>
      </w:pPr>
      <w:r w:rsidRPr="00526F8A">
        <w:rPr>
          <w:rStyle w:val="Appelnotedebasdep"/>
          <w:rFonts w:cstheme="minorHAnsi"/>
        </w:rPr>
        <w:footnoteRef/>
      </w:r>
      <w:r w:rsidRPr="00F938D8">
        <w:rPr>
          <w:rFonts w:cstheme="minorHAnsi"/>
          <w:lang w:val="en-US"/>
        </w:rPr>
        <w:t xml:space="preserve"> </w:t>
      </w:r>
      <w:r w:rsidRPr="00526F8A">
        <w:rPr>
          <w:rFonts w:cstheme="minorHAnsi"/>
          <w:lang w:val="en-US"/>
        </w:rPr>
        <w:t>The fundamental rights exercise can still be done. It is never too late. A simple analysis of the work done by the EU on procedural rights in recent years could be a start. It is time to promote upwards some of the good ideas in the directives</w:t>
      </w:r>
      <w:r>
        <w:rPr>
          <w:rFonts w:cstheme="minorHAnsi"/>
          <w:lang w:val="en-US"/>
        </w:rPr>
        <w:t xml:space="preserve"> providing a </w:t>
      </w:r>
      <w:r w:rsidRPr="00526F8A">
        <w:rPr>
          <w:rFonts w:cstheme="minorHAnsi"/>
          <w:lang w:val="en-US"/>
        </w:rPr>
        <w:t>fundamental right to have a lawyer</w:t>
      </w:r>
      <w:r>
        <w:rPr>
          <w:rFonts w:cstheme="minorHAnsi"/>
          <w:lang w:val="en-US"/>
        </w:rPr>
        <w:t>,</w:t>
      </w:r>
      <w:r w:rsidRPr="00526F8A">
        <w:rPr>
          <w:rFonts w:cstheme="minorHAnsi"/>
          <w:lang w:val="en-US"/>
        </w:rPr>
        <w:t xml:space="preserve"> </w:t>
      </w:r>
      <w:r>
        <w:rPr>
          <w:rFonts w:cstheme="minorHAnsi"/>
          <w:lang w:val="en-US"/>
        </w:rPr>
        <w:t>the right</w:t>
      </w:r>
      <w:r w:rsidRPr="00526F8A">
        <w:rPr>
          <w:rFonts w:cstheme="minorHAnsi"/>
          <w:lang w:val="en-US"/>
        </w:rPr>
        <w:t xml:space="preserve"> to understand prosecutions originating from other Member States</w:t>
      </w:r>
      <w:r w:rsidR="00CC757A">
        <w:rPr>
          <w:rFonts w:cstheme="minorHAnsi"/>
          <w:lang w:val="en-US"/>
        </w:rPr>
        <w:t>,</w:t>
      </w:r>
      <w:r w:rsidRPr="00526F8A">
        <w:rPr>
          <w:rFonts w:cstheme="minorHAnsi"/>
          <w:lang w:val="en-US"/>
        </w:rPr>
        <w:t xml:space="preserve"> or </w:t>
      </w:r>
      <w:r w:rsidR="00CC757A">
        <w:rPr>
          <w:rFonts w:cstheme="minorHAnsi"/>
          <w:lang w:val="en-US"/>
        </w:rPr>
        <w:t>the</w:t>
      </w:r>
      <w:r w:rsidRPr="00526F8A">
        <w:rPr>
          <w:rFonts w:cstheme="minorHAnsi"/>
          <w:lang w:val="en-US"/>
        </w:rPr>
        <w:t xml:space="preserve"> right to have ‘foreign’ evidence examined by the domestic judge to avoid differences in scrutiny standards (comp. with A Van Hoek &amp; M </w:t>
      </w:r>
      <w:proofErr w:type="spellStart"/>
      <w:r w:rsidRPr="00526F8A">
        <w:rPr>
          <w:rFonts w:cstheme="minorHAnsi"/>
          <w:lang w:val="en-US"/>
        </w:rPr>
        <w:t>Luchtman</w:t>
      </w:r>
      <w:proofErr w:type="spellEnd"/>
      <w:r w:rsidRPr="00526F8A">
        <w:rPr>
          <w:rFonts w:cstheme="minorHAnsi"/>
          <w:lang w:val="en-US"/>
        </w:rPr>
        <w:t>, ‘Transnational cooperation in criminal matters and the safeguarding of human rights’ (2005) 1 Utrecht Law Rev.</w:t>
      </w:r>
      <w:r>
        <w:rPr>
          <w:rFonts w:cstheme="minorHAnsi"/>
          <w:lang w:val="en-US"/>
        </w:rPr>
        <w:t> </w:t>
      </w:r>
      <w:r w:rsidRPr="00526F8A">
        <w:rPr>
          <w:rFonts w:cstheme="minorHAnsi"/>
          <w:lang w:val="en-US"/>
        </w:rPr>
        <w:t>1). There is clearly no consensus in human rights law about a general recognition of the exclusionary rule. But should that be a deadlock? Let us then start with finding a consensus and not</w:t>
      </w:r>
      <w:r>
        <w:rPr>
          <w:rFonts w:cstheme="minorHAnsi"/>
          <w:lang w:val="en-US"/>
        </w:rPr>
        <w:t>e</w:t>
      </w:r>
      <w:r w:rsidRPr="00526F8A">
        <w:rPr>
          <w:rFonts w:cstheme="minorHAnsi"/>
          <w:lang w:val="en-US"/>
        </w:rPr>
        <w:t xml:space="preserve"> that the ECHR and the Charter, contrary to </w:t>
      </w:r>
      <w:r w:rsidR="00CC757A">
        <w:rPr>
          <w:rFonts w:cstheme="minorHAnsi"/>
          <w:lang w:val="en-US"/>
        </w:rPr>
        <w:t>A</w:t>
      </w:r>
      <w:r w:rsidRPr="00526F8A">
        <w:rPr>
          <w:rFonts w:cstheme="minorHAnsi"/>
          <w:lang w:val="en-US"/>
        </w:rPr>
        <w:t>rt. 15 of the UN Convention against Torture, do not contain an explicit rule excluding evidence in a court case with statements obtained under torture</w:t>
      </w:r>
      <w:r>
        <w:rPr>
          <w:rFonts w:cstheme="minorHAnsi"/>
          <w:lang w:val="en-US"/>
        </w:rPr>
        <w:t xml:space="preserve"> (c</w:t>
      </w:r>
      <w:r w:rsidRPr="00F938D8">
        <w:rPr>
          <w:rFonts w:cstheme="minorHAnsi"/>
          <w:lang w:val="en-US"/>
        </w:rPr>
        <w:t xml:space="preserve">omp. </w:t>
      </w:r>
      <w:r w:rsidRPr="00F938D8">
        <w:rPr>
          <w:rFonts w:cstheme="minorHAnsi"/>
          <w:lang w:val="nl-BE"/>
        </w:rPr>
        <w:t>R A Lawson, 'Hoe exclusief dient de 'exclusionary rule' te zijn?', in P</w:t>
      </w:r>
      <w:r w:rsidR="000B2DDF">
        <w:rPr>
          <w:rFonts w:cstheme="minorHAnsi"/>
          <w:lang w:val="nl-BE"/>
        </w:rPr>
        <w:t xml:space="preserve"> </w:t>
      </w:r>
      <w:r w:rsidRPr="00F938D8">
        <w:rPr>
          <w:rFonts w:cstheme="minorHAnsi"/>
          <w:lang w:val="nl-BE"/>
        </w:rPr>
        <w:t>D Duys &amp; P</w:t>
      </w:r>
      <w:r w:rsidR="000B2DDF">
        <w:rPr>
          <w:rFonts w:cstheme="minorHAnsi"/>
          <w:lang w:val="nl-BE"/>
        </w:rPr>
        <w:t xml:space="preserve"> </w:t>
      </w:r>
      <w:r w:rsidRPr="00F938D8">
        <w:rPr>
          <w:rFonts w:cstheme="minorHAnsi"/>
          <w:lang w:val="nl-BE"/>
        </w:rPr>
        <w:t>D</w:t>
      </w:r>
      <w:r w:rsidR="000B2DDF">
        <w:rPr>
          <w:rFonts w:cstheme="minorHAnsi"/>
          <w:lang w:val="nl-BE"/>
        </w:rPr>
        <w:t xml:space="preserve"> </w:t>
      </w:r>
      <w:r w:rsidRPr="00F938D8">
        <w:rPr>
          <w:rFonts w:cstheme="minorHAnsi"/>
          <w:lang w:val="nl-BE"/>
        </w:rPr>
        <w:t xml:space="preserve">J van Zeben, </w:t>
      </w:r>
      <w:r w:rsidRPr="00F938D8">
        <w:rPr>
          <w:rFonts w:cstheme="minorHAnsi"/>
          <w:i/>
          <w:lang w:val="nl-BE"/>
        </w:rPr>
        <w:t>Via Straatsburg. Opstellen ter gelegenheid van de benoeming van Prof. Mr. B.E.P. Myer</w:t>
      </w:r>
      <w:r w:rsidRPr="00F938D8">
        <w:rPr>
          <w:rFonts w:cstheme="minorHAnsi"/>
          <w:lang w:val="nl-BE"/>
        </w:rPr>
        <w:t xml:space="preserve"> (Wolf Legal Publihers, 2004) 181-207, 189; P </w:t>
      </w:r>
      <w:r w:rsidRPr="00526F8A">
        <w:rPr>
          <w:rFonts w:cstheme="minorHAnsi"/>
          <w:lang w:val="nl-BE"/>
        </w:rPr>
        <w:t xml:space="preserve">De Hert &amp; S Gutwirth, ‘Grondrechten : vrijplaatsen voor het strafrecht? </w:t>
      </w:r>
      <w:r w:rsidRPr="00F938D8">
        <w:rPr>
          <w:rFonts w:cstheme="minorHAnsi"/>
          <w:lang w:val="nl-BE"/>
        </w:rPr>
        <w:t>Dworkins Amerikaanse trumpmetafoor getoetst aan de hedendaagse Europese mensenrechten’ in</w:t>
      </w:r>
      <w:r>
        <w:rPr>
          <w:rFonts w:cstheme="minorHAnsi"/>
          <w:lang w:val="nl-BE"/>
        </w:rPr>
        <w:t xml:space="preserve"> </w:t>
      </w:r>
      <w:r w:rsidR="000B2DDF" w:rsidRPr="00094D59">
        <w:rPr>
          <w:rFonts w:cstheme="minorHAnsi"/>
          <w:lang w:val="nl-BE"/>
        </w:rPr>
        <w:t>R</w:t>
      </w:r>
      <w:r w:rsidR="000B2DDF">
        <w:rPr>
          <w:rFonts w:cstheme="minorHAnsi"/>
          <w:lang w:val="nl-BE"/>
        </w:rPr>
        <w:t xml:space="preserve"> </w:t>
      </w:r>
      <w:r w:rsidRPr="00094D59">
        <w:rPr>
          <w:rFonts w:cstheme="minorHAnsi"/>
          <w:lang w:val="nl-BE"/>
        </w:rPr>
        <w:t>H Haveman &amp; H</w:t>
      </w:r>
      <w:r>
        <w:rPr>
          <w:rFonts w:cstheme="minorHAnsi"/>
          <w:lang w:val="nl-BE"/>
        </w:rPr>
        <w:t xml:space="preserve"> </w:t>
      </w:r>
      <w:r w:rsidRPr="00094D59">
        <w:rPr>
          <w:rFonts w:cstheme="minorHAnsi"/>
          <w:lang w:val="nl-BE"/>
        </w:rPr>
        <w:t>C Wiersinga (red.),</w:t>
      </w:r>
      <w:r w:rsidRPr="00F938D8">
        <w:rPr>
          <w:rFonts w:cstheme="minorHAnsi"/>
          <w:lang w:val="nl-BE"/>
        </w:rPr>
        <w:t xml:space="preserve"> </w:t>
      </w:r>
      <w:r w:rsidRPr="00F938D8">
        <w:rPr>
          <w:rFonts w:cstheme="minorHAnsi"/>
          <w:i/>
          <w:iCs/>
          <w:lang w:val="nl-BE"/>
        </w:rPr>
        <w:t>Langs de randen van het strafrecht</w:t>
      </w:r>
      <w:r w:rsidRPr="00F938D8">
        <w:rPr>
          <w:rFonts w:cstheme="minorHAnsi"/>
          <w:lang w:val="nl-BE"/>
        </w:rPr>
        <w:t xml:space="preserve">, E.G. Mijers Instituut-reeks 91, </w:t>
      </w:r>
      <w:r>
        <w:rPr>
          <w:rFonts w:cstheme="minorHAnsi"/>
          <w:lang w:val="nl-BE"/>
        </w:rPr>
        <w:t>(</w:t>
      </w:r>
      <w:r w:rsidRPr="00F938D8">
        <w:rPr>
          <w:rFonts w:cstheme="minorHAnsi"/>
          <w:lang w:val="nl-BE"/>
        </w:rPr>
        <w:t>Wolf Legal Publishers, 2005</w:t>
      </w:r>
      <w:r>
        <w:rPr>
          <w:rFonts w:cstheme="minorHAnsi"/>
          <w:lang w:val="nl-BE"/>
        </w:rPr>
        <w:t>)</w:t>
      </w:r>
      <w:r w:rsidRPr="00F938D8">
        <w:rPr>
          <w:rFonts w:cstheme="minorHAnsi"/>
          <w:lang w:val="nl-BE"/>
        </w:rPr>
        <w:t xml:space="preserve"> 141-17</w:t>
      </w:r>
      <w:r>
        <w:rPr>
          <w:rFonts w:cstheme="minorHAnsi"/>
          <w:lang w:val="nl-BE"/>
        </w:rPr>
        <w:t>5).</w:t>
      </w:r>
    </w:p>
  </w:footnote>
  <w:footnote w:id="17">
    <w:p w14:paraId="5FA35B08" w14:textId="338939DA" w:rsidR="00DD1E6F" w:rsidRPr="003075CC" w:rsidRDefault="00DD1E6F">
      <w:pPr>
        <w:pStyle w:val="Notedebasdepage"/>
        <w:rPr>
          <w:lang w:val="en-US"/>
        </w:rPr>
      </w:pPr>
      <w:r>
        <w:rPr>
          <w:rStyle w:val="Appelnotedebasdep"/>
        </w:rPr>
        <w:footnoteRef/>
      </w:r>
      <w:r w:rsidRPr="00650689">
        <w:rPr>
          <w:lang w:val="en-US"/>
        </w:rPr>
        <w:t xml:space="preserve"> </w:t>
      </w:r>
      <w:r w:rsidR="007160E9" w:rsidRPr="00533D7F">
        <w:rPr>
          <w:rFonts w:cstheme="minorHAnsi"/>
          <w:color w:val="000000" w:themeColor="text1"/>
          <w:shd w:val="clear" w:color="auto" w:fill="FFFFFF"/>
          <w:lang w:val="en-US"/>
        </w:rPr>
        <w:t>Charter of Fundamental Rights of the European Union [2012] OJ C 326/391</w:t>
      </w:r>
      <w:r w:rsidR="007160E9">
        <w:rPr>
          <w:rFonts w:cstheme="minorHAnsi"/>
          <w:color w:val="000000" w:themeColor="text1"/>
          <w:shd w:val="clear" w:color="auto" w:fill="FFFFFF"/>
          <w:lang w:val="en-US"/>
        </w:rPr>
        <w:t>.</w:t>
      </w:r>
    </w:p>
  </w:footnote>
  <w:footnote w:id="18">
    <w:p w14:paraId="4CA39B7E" w14:textId="1F3DB263" w:rsidR="00DD1E6F" w:rsidRPr="003075CC" w:rsidRDefault="00DD1E6F">
      <w:pPr>
        <w:pStyle w:val="Notedebasdepage"/>
        <w:rPr>
          <w:lang w:val="en-US"/>
        </w:rPr>
      </w:pPr>
      <w:r>
        <w:rPr>
          <w:rStyle w:val="Appelnotedebasdep"/>
        </w:rPr>
        <w:footnoteRef/>
      </w:r>
      <w:r w:rsidRPr="00650689">
        <w:rPr>
          <w:lang w:val="en-US"/>
        </w:rPr>
        <w:t xml:space="preserve"> </w:t>
      </w:r>
      <w:r w:rsidR="007160E9" w:rsidRPr="00650689">
        <w:rPr>
          <w:lang w:val="en-US"/>
        </w:rPr>
        <w:t>Art</w:t>
      </w:r>
      <w:r w:rsidR="000B2DDF">
        <w:rPr>
          <w:lang w:val="en-US"/>
        </w:rPr>
        <w:t>.</w:t>
      </w:r>
      <w:r w:rsidR="007160E9" w:rsidRPr="00650689">
        <w:rPr>
          <w:lang w:val="en-US"/>
        </w:rPr>
        <w:t xml:space="preserve"> 6, </w:t>
      </w:r>
      <w:r w:rsidR="007160E9" w:rsidRPr="00533D7F">
        <w:rPr>
          <w:rFonts w:cstheme="minorHAnsi"/>
          <w:color w:val="000000" w:themeColor="text1"/>
          <w:shd w:val="clear" w:color="auto" w:fill="FFFFFF"/>
          <w:lang w:val="en-US"/>
        </w:rPr>
        <w:t xml:space="preserve">Treaty of Lisbon amending the Treaty on European Union and the Treaty establishing the European Community [2007] </w:t>
      </w:r>
      <w:r w:rsidR="007160E9" w:rsidRPr="00533D7F">
        <w:rPr>
          <w:rFonts w:cstheme="minorHAnsi"/>
          <w:color w:val="000000" w:themeColor="text1"/>
          <w:lang w:val="en-US"/>
        </w:rPr>
        <w:t>OJ</w:t>
      </w:r>
      <w:r w:rsidR="007160E9" w:rsidRPr="00533D7F">
        <w:rPr>
          <w:rFonts w:cstheme="minorHAnsi"/>
          <w:i/>
          <w:iCs/>
          <w:color w:val="000000" w:themeColor="text1"/>
          <w:lang w:val="en-US"/>
        </w:rPr>
        <w:t xml:space="preserve"> </w:t>
      </w:r>
      <w:r w:rsidR="007160E9" w:rsidRPr="00533D7F">
        <w:rPr>
          <w:rFonts w:cstheme="minorHAnsi"/>
          <w:color w:val="000000" w:themeColor="text1"/>
          <w:lang w:val="en-US"/>
        </w:rPr>
        <w:t>C306/1</w:t>
      </w:r>
      <w:r w:rsidR="007160E9">
        <w:rPr>
          <w:rFonts w:cstheme="minorHAnsi"/>
          <w:color w:val="000000" w:themeColor="text1"/>
          <w:lang w:val="en-US"/>
        </w:rPr>
        <w:t>.</w:t>
      </w:r>
    </w:p>
  </w:footnote>
  <w:footnote w:id="19">
    <w:p w14:paraId="2BD301C0" w14:textId="77777777" w:rsidR="00DD1E6F" w:rsidRPr="003075CC" w:rsidRDefault="00DD1E6F" w:rsidP="00DD1E6F">
      <w:pPr>
        <w:pStyle w:val="Notedebasdepage"/>
        <w:rPr>
          <w:color w:val="000000" w:themeColor="text1"/>
          <w:lang w:val="nl-BE"/>
        </w:rPr>
      </w:pPr>
      <w:r w:rsidRPr="00533D7F">
        <w:rPr>
          <w:rStyle w:val="Appelnotedebasdep"/>
          <w:rFonts w:cstheme="minorHAnsi"/>
        </w:rPr>
        <w:footnoteRef/>
      </w:r>
      <w:r w:rsidRPr="003075CC">
        <w:rPr>
          <w:lang w:val="nl-BE"/>
        </w:rPr>
        <w:t xml:space="preserve"> </w:t>
      </w:r>
      <w:r w:rsidRPr="003075CC">
        <w:rPr>
          <w:color w:val="000000" w:themeColor="text1"/>
          <w:lang w:val="nl-BE"/>
        </w:rPr>
        <w:t>Wasmeier (n 6) 121-22.</w:t>
      </w:r>
    </w:p>
  </w:footnote>
  <w:footnote w:id="20">
    <w:p w14:paraId="7E741A00" w14:textId="77777777" w:rsidR="00DE6179" w:rsidRPr="003075CC" w:rsidRDefault="00DE6179" w:rsidP="00DE6179">
      <w:pPr>
        <w:pStyle w:val="Notedebasdepage"/>
        <w:rPr>
          <w:lang w:val="nl-BE"/>
        </w:rPr>
      </w:pPr>
      <w:r w:rsidRPr="00533D7F">
        <w:rPr>
          <w:rStyle w:val="Appelnotedebasdep"/>
          <w:rFonts w:cstheme="minorHAnsi"/>
        </w:rPr>
        <w:footnoteRef/>
      </w:r>
      <w:r w:rsidRPr="003075CC">
        <w:rPr>
          <w:lang w:val="nl-BE"/>
        </w:rPr>
        <w:t xml:space="preserve"> Ibid. 123-24.</w:t>
      </w:r>
    </w:p>
  </w:footnote>
  <w:footnote w:id="21">
    <w:p w14:paraId="41FC4854" w14:textId="00FF96CB" w:rsidR="00DE6179" w:rsidRPr="003075CC" w:rsidRDefault="00DE6179" w:rsidP="00DE6179">
      <w:pPr>
        <w:pStyle w:val="Notedebasdepage"/>
        <w:rPr>
          <w:lang w:val="nl-BE"/>
        </w:rPr>
      </w:pPr>
      <w:r w:rsidRPr="00533D7F">
        <w:rPr>
          <w:rStyle w:val="Appelnotedebasdep"/>
          <w:rFonts w:cstheme="minorHAnsi"/>
        </w:rPr>
        <w:footnoteRef/>
      </w:r>
      <w:r w:rsidRPr="003075CC">
        <w:rPr>
          <w:lang w:val="nl-BE"/>
        </w:rPr>
        <w:t xml:space="preserve"> Vervaele (n </w:t>
      </w:r>
      <w:r w:rsidR="001674CB" w:rsidRPr="003075CC">
        <w:rPr>
          <w:lang w:val="nl-BE"/>
        </w:rPr>
        <w:t>8</w:t>
      </w:r>
      <w:r w:rsidRPr="003075CC">
        <w:rPr>
          <w:lang w:val="nl-BE"/>
        </w:rPr>
        <w:t>) 117.</w:t>
      </w:r>
    </w:p>
  </w:footnote>
  <w:footnote w:id="22">
    <w:p w14:paraId="4F831636" w14:textId="78D330AD" w:rsidR="00334E05" w:rsidRPr="008A5A7B" w:rsidRDefault="00334E05" w:rsidP="00665E9E">
      <w:pPr>
        <w:jc w:val="both"/>
        <w:rPr>
          <w:rFonts w:asciiTheme="minorHAnsi" w:hAnsiTheme="minorHAnsi" w:cstheme="minorHAnsi"/>
          <w:color w:val="000000" w:themeColor="text1"/>
          <w:sz w:val="20"/>
          <w:szCs w:val="20"/>
          <w:shd w:val="clear" w:color="auto" w:fill="FFFFFF"/>
          <w:lang w:val="en-US"/>
        </w:rPr>
      </w:pPr>
      <w:r w:rsidRPr="00665E9E">
        <w:rPr>
          <w:rFonts w:asciiTheme="minorHAnsi" w:hAnsiTheme="minorHAnsi" w:cstheme="minorHAnsi"/>
          <w:color w:val="000000" w:themeColor="text1"/>
          <w:sz w:val="20"/>
          <w:szCs w:val="20"/>
          <w:shd w:val="clear" w:color="auto" w:fill="FFFFFF"/>
          <w:vertAlign w:val="superscript"/>
          <w:lang w:val="en-US"/>
        </w:rPr>
        <w:footnoteRef/>
      </w:r>
      <w:r w:rsidRPr="00665E9E">
        <w:rPr>
          <w:rFonts w:asciiTheme="minorHAnsi" w:hAnsiTheme="minorHAnsi" w:cstheme="minorHAnsi"/>
          <w:color w:val="000000" w:themeColor="text1"/>
          <w:sz w:val="20"/>
          <w:szCs w:val="20"/>
          <w:shd w:val="clear" w:color="auto" w:fill="FFFFFF"/>
          <w:lang w:val="en-US"/>
        </w:rPr>
        <w:t xml:space="preserve"> </w:t>
      </w:r>
      <w:r w:rsidR="002C355C">
        <w:rPr>
          <w:rFonts w:asciiTheme="minorHAnsi" w:hAnsiTheme="minorHAnsi" w:cstheme="minorHAnsi"/>
          <w:color w:val="000000" w:themeColor="text1"/>
          <w:sz w:val="20"/>
          <w:szCs w:val="20"/>
          <w:shd w:val="clear" w:color="auto" w:fill="FFFFFF"/>
          <w:lang w:val="en-US"/>
        </w:rPr>
        <w:t>The reply is of</w:t>
      </w:r>
      <w:r w:rsidR="006B7C30">
        <w:rPr>
          <w:rFonts w:asciiTheme="minorHAnsi" w:hAnsiTheme="minorHAnsi" w:cstheme="minorHAnsi"/>
          <w:color w:val="000000" w:themeColor="text1"/>
          <w:sz w:val="20"/>
          <w:szCs w:val="20"/>
          <w:shd w:val="clear" w:color="auto" w:fill="FFFFFF"/>
          <w:lang w:val="en-US"/>
        </w:rPr>
        <w:t xml:space="preserve"> </w:t>
      </w:r>
      <w:r w:rsidR="002C355C">
        <w:rPr>
          <w:rFonts w:asciiTheme="minorHAnsi" w:hAnsiTheme="minorHAnsi" w:cstheme="minorHAnsi"/>
          <w:color w:val="000000" w:themeColor="text1"/>
          <w:sz w:val="20"/>
          <w:szCs w:val="20"/>
          <w:shd w:val="clear" w:color="auto" w:fill="FFFFFF"/>
          <w:lang w:val="en-US"/>
        </w:rPr>
        <w:t xml:space="preserve">course ‘yes more can be said’. See our suggestions and preliminary ideas in footnote 15. </w:t>
      </w:r>
      <w:r w:rsidR="008A5A7B">
        <w:rPr>
          <w:rFonts w:asciiTheme="minorHAnsi" w:hAnsiTheme="minorHAnsi" w:cstheme="minorHAnsi"/>
          <w:color w:val="000000" w:themeColor="text1"/>
          <w:sz w:val="20"/>
          <w:szCs w:val="20"/>
          <w:shd w:val="clear" w:color="auto" w:fill="FFFFFF"/>
          <w:lang w:val="en-US"/>
        </w:rPr>
        <w:t xml:space="preserve">On constitutionalism beyond the state, </w:t>
      </w:r>
      <w:r w:rsidRPr="00665E9E">
        <w:rPr>
          <w:rFonts w:asciiTheme="minorHAnsi" w:hAnsiTheme="minorHAnsi" w:cstheme="minorHAnsi"/>
          <w:color w:val="000000" w:themeColor="text1"/>
          <w:sz w:val="20"/>
          <w:szCs w:val="20"/>
          <w:shd w:val="clear" w:color="auto" w:fill="FFFFFF"/>
          <w:lang w:val="en-US"/>
        </w:rPr>
        <w:t xml:space="preserve">C </w:t>
      </w:r>
      <w:proofErr w:type="spellStart"/>
      <w:r w:rsidRPr="00665E9E">
        <w:rPr>
          <w:rFonts w:asciiTheme="minorHAnsi" w:hAnsiTheme="minorHAnsi" w:cstheme="minorHAnsi"/>
          <w:color w:val="000000" w:themeColor="text1"/>
          <w:sz w:val="20"/>
          <w:szCs w:val="20"/>
          <w:shd w:val="clear" w:color="auto" w:fill="FFFFFF"/>
          <w:lang w:val="en-US"/>
        </w:rPr>
        <w:t>Joerges</w:t>
      </w:r>
      <w:proofErr w:type="spellEnd"/>
      <w:r w:rsidRPr="00665E9E">
        <w:rPr>
          <w:rFonts w:asciiTheme="minorHAnsi" w:hAnsiTheme="minorHAnsi" w:cstheme="minorHAnsi"/>
          <w:color w:val="000000" w:themeColor="text1"/>
          <w:sz w:val="20"/>
          <w:szCs w:val="20"/>
          <w:shd w:val="clear" w:color="auto" w:fill="FFFFFF"/>
          <w:lang w:val="en-US"/>
        </w:rPr>
        <w:t xml:space="preserve">, I-J Sand, G Teubner (eds.), </w:t>
      </w:r>
      <w:r w:rsidRPr="00650689">
        <w:rPr>
          <w:rFonts w:asciiTheme="minorHAnsi" w:hAnsiTheme="minorHAnsi"/>
          <w:i/>
          <w:color w:val="000000" w:themeColor="text1"/>
          <w:sz w:val="20"/>
          <w:shd w:val="clear" w:color="auto" w:fill="FFFFFF"/>
          <w:lang w:val="en-US"/>
        </w:rPr>
        <w:t>Transnational Governance and Constitutionalism</w:t>
      </w:r>
      <w:r w:rsidRPr="00665E9E" w:rsidDel="000B2DDF">
        <w:rPr>
          <w:rFonts w:asciiTheme="minorHAnsi" w:hAnsiTheme="minorHAnsi" w:cstheme="minorHAnsi"/>
          <w:color w:val="000000" w:themeColor="text1"/>
          <w:sz w:val="20"/>
          <w:szCs w:val="20"/>
          <w:shd w:val="clear" w:color="auto" w:fill="FFFFFF"/>
          <w:lang w:val="en-US"/>
        </w:rPr>
        <w:t>,</w:t>
      </w:r>
      <w:r w:rsidRPr="00665E9E">
        <w:rPr>
          <w:rFonts w:asciiTheme="minorHAnsi" w:hAnsiTheme="minorHAnsi" w:cstheme="minorHAnsi"/>
          <w:color w:val="000000" w:themeColor="text1"/>
          <w:sz w:val="20"/>
          <w:szCs w:val="20"/>
          <w:shd w:val="clear" w:color="auto" w:fill="FFFFFF"/>
          <w:lang w:val="en-US"/>
        </w:rPr>
        <w:t xml:space="preserve"> </w:t>
      </w:r>
      <w:r w:rsidR="00665E9E">
        <w:rPr>
          <w:rFonts w:asciiTheme="minorHAnsi" w:hAnsiTheme="minorHAnsi" w:cstheme="minorHAnsi"/>
          <w:color w:val="000000" w:themeColor="text1"/>
          <w:sz w:val="20"/>
          <w:szCs w:val="20"/>
          <w:shd w:val="clear" w:color="auto" w:fill="FFFFFF"/>
          <w:lang w:val="en-US"/>
        </w:rPr>
        <w:t>(</w:t>
      </w:r>
      <w:r w:rsidRPr="00665E9E">
        <w:rPr>
          <w:rFonts w:asciiTheme="minorHAnsi" w:hAnsiTheme="minorHAnsi" w:cstheme="minorHAnsi"/>
          <w:color w:val="000000" w:themeColor="text1"/>
          <w:sz w:val="20"/>
          <w:szCs w:val="20"/>
          <w:shd w:val="clear" w:color="auto" w:fill="FFFFFF"/>
          <w:lang w:val="en-US"/>
        </w:rPr>
        <w:t>Hart 2004</w:t>
      </w:r>
      <w:r w:rsidR="00665E9E">
        <w:rPr>
          <w:rFonts w:asciiTheme="minorHAnsi" w:hAnsiTheme="minorHAnsi" w:cstheme="minorHAnsi"/>
          <w:color w:val="000000" w:themeColor="text1"/>
          <w:sz w:val="20"/>
          <w:szCs w:val="20"/>
          <w:shd w:val="clear" w:color="auto" w:fill="FFFFFF"/>
          <w:lang w:val="en-US"/>
        </w:rPr>
        <w:t>)</w:t>
      </w:r>
      <w:r w:rsidRPr="00665E9E">
        <w:rPr>
          <w:rFonts w:asciiTheme="minorHAnsi" w:hAnsiTheme="minorHAnsi" w:cstheme="minorHAnsi"/>
          <w:color w:val="000000" w:themeColor="text1"/>
          <w:sz w:val="20"/>
          <w:szCs w:val="20"/>
          <w:shd w:val="clear" w:color="auto" w:fill="FFFFFF"/>
          <w:lang w:val="en-US"/>
        </w:rPr>
        <w:t xml:space="preserve"> 408; G C </w:t>
      </w:r>
      <w:proofErr w:type="spellStart"/>
      <w:r w:rsidRPr="00665E9E">
        <w:rPr>
          <w:rFonts w:asciiTheme="minorHAnsi" w:hAnsiTheme="minorHAnsi" w:cstheme="minorHAnsi"/>
          <w:color w:val="000000" w:themeColor="text1"/>
          <w:sz w:val="20"/>
          <w:szCs w:val="20"/>
          <w:shd w:val="clear" w:color="auto" w:fill="FFFFFF"/>
          <w:lang w:val="en-US"/>
        </w:rPr>
        <w:t>Guimarães</w:t>
      </w:r>
      <w:proofErr w:type="spellEnd"/>
      <w:r w:rsidRPr="00665E9E">
        <w:rPr>
          <w:rFonts w:asciiTheme="minorHAnsi" w:hAnsiTheme="minorHAnsi" w:cstheme="minorHAnsi"/>
          <w:color w:val="000000" w:themeColor="text1"/>
          <w:sz w:val="20"/>
          <w:szCs w:val="20"/>
          <w:shd w:val="clear" w:color="auto" w:fill="FFFFFF"/>
          <w:lang w:val="en-US"/>
        </w:rPr>
        <w:t xml:space="preserve">, </w:t>
      </w:r>
      <w:r w:rsidRPr="00650689">
        <w:rPr>
          <w:rFonts w:asciiTheme="minorHAnsi" w:hAnsiTheme="minorHAnsi"/>
          <w:i/>
          <w:color w:val="000000" w:themeColor="text1"/>
          <w:sz w:val="20"/>
          <w:shd w:val="clear" w:color="auto" w:fill="FFFFFF"/>
          <w:lang w:val="en-US"/>
        </w:rPr>
        <w:t>Transnational Constitutionalism, Google and the European Union</w:t>
      </w:r>
      <w:r w:rsidR="00665E9E">
        <w:rPr>
          <w:rFonts w:asciiTheme="minorHAnsi" w:hAnsiTheme="minorHAnsi" w:cstheme="minorHAnsi"/>
          <w:color w:val="000000" w:themeColor="text1"/>
          <w:sz w:val="20"/>
          <w:szCs w:val="20"/>
          <w:shd w:val="clear" w:color="auto" w:fill="FFFFFF"/>
          <w:lang w:val="en-US"/>
        </w:rPr>
        <w:t xml:space="preserve"> (</w:t>
      </w:r>
      <w:r w:rsidRPr="00665E9E">
        <w:rPr>
          <w:rFonts w:asciiTheme="minorHAnsi" w:hAnsiTheme="minorHAnsi" w:cstheme="minorHAnsi"/>
          <w:color w:val="000000" w:themeColor="text1"/>
          <w:sz w:val="20"/>
          <w:szCs w:val="20"/>
          <w:shd w:val="clear" w:color="auto" w:fill="FFFFFF"/>
          <w:lang w:val="en-US"/>
        </w:rPr>
        <w:t>Routledge 2019</w:t>
      </w:r>
      <w:r w:rsidR="00665E9E">
        <w:rPr>
          <w:rFonts w:asciiTheme="minorHAnsi" w:hAnsiTheme="minorHAnsi" w:cstheme="minorHAnsi"/>
          <w:color w:val="000000" w:themeColor="text1"/>
          <w:sz w:val="20"/>
          <w:szCs w:val="20"/>
          <w:shd w:val="clear" w:color="auto" w:fill="FFFFFF"/>
          <w:lang w:val="en-US"/>
        </w:rPr>
        <w:t>)</w:t>
      </w:r>
      <w:r w:rsidRPr="00665E9E">
        <w:rPr>
          <w:rFonts w:asciiTheme="minorHAnsi" w:hAnsiTheme="minorHAnsi" w:cstheme="minorHAnsi"/>
          <w:color w:val="000000" w:themeColor="text1"/>
          <w:sz w:val="20"/>
          <w:szCs w:val="20"/>
          <w:shd w:val="clear" w:color="auto" w:fill="FFFFFF"/>
          <w:lang w:val="en-US"/>
        </w:rPr>
        <w:t xml:space="preserve"> 226</w:t>
      </w:r>
      <w:r w:rsidR="00665E9E">
        <w:rPr>
          <w:rFonts w:asciiTheme="minorHAnsi" w:hAnsiTheme="minorHAnsi" w:cstheme="minorHAnsi"/>
          <w:color w:val="000000" w:themeColor="text1"/>
          <w:sz w:val="20"/>
          <w:szCs w:val="20"/>
          <w:shd w:val="clear" w:color="auto" w:fill="FFFFFF"/>
          <w:lang w:val="en-US"/>
        </w:rPr>
        <w:t>.</w:t>
      </w:r>
      <w:r w:rsidR="008A5A7B">
        <w:rPr>
          <w:rFonts w:asciiTheme="minorHAnsi" w:hAnsiTheme="minorHAnsi" w:cstheme="minorHAnsi"/>
          <w:color w:val="000000" w:themeColor="text1"/>
          <w:sz w:val="20"/>
          <w:szCs w:val="20"/>
          <w:shd w:val="clear" w:color="auto" w:fill="FFFFFF"/>
          <w:lang w:val="en-US"/>
        </w:rPr>
        <w:t xml:space="preserve"> On hesitations in the EU Charter between human rights and civil rights and between a constitutional logic and a treaty logic, see </w:t>
      </w:r>
      <w:r w:rsidR="008A5A7B" w:rsidRPr="008A5A7B">
        <w:rPr>
          <w:rFonts w:asciiTheme="minorHAnsi" w:hAnsiTheme="minorHAnsi" w:cstheme="minorHAnsi"/>
          <w:color w:val="000000" w:themeColor="text1"/>
          <w:sz w:val="20"/>
          <w:szCs w:val="20"/>
          <w:shd w:val="clear" w:color="auto" w:fill="FFFFFF"/>
          <w:lang w:val="en-US"/>
        </w:rPr>
        <w:t>E</w:t>
      </w:r>
      <w:r w:rsidR="008A5A7B" w:rsidDel="000B2DDF">
        <w:rPr>
          <w:rFonts w:asciiTheme="minorHAnsi" w:hAnsiTheme="minorHAnsi" w:cstheme="minorHAnsi"/>
          <w:color w:val="000000" w:themeColor="text1"/>
          <w:sz w:val="20"/>
          <w:szCs w:val="20"/>
          <w:shd w:val="clear" w:color="auto" w:fill="FFFFFF"/>
          <w:lang w:val="en-US"/>
        </w:rPr>
        <w:t>.</w:t>
      </w:r>
      <w:r w:rsidR="008A5A7B" w:rsidRPr="008A5A7B">
        <w:rPr>
          <w:rFonts w:asciiTheme="minorHAnsi" w:hAnsiTheme="minorHAnsi" w:cstheme="minorHAnsi"/>
          <w:color w:val="000000" w:themeColor="text1"/>
          <w:sz w:val="20"/>
          <w:szCs w:val="20"/>
          <w:shd w:val="clear" w:color="auto" w:fill="FFFFFF"/>
          <w:lang w:val="en-US"/>
        </w:rPr>
        <w:t xml:space="preserve"> Guild</w:t>
      </w:r>
      <w:r w:rsidR="008A5A7B">
        <w:rPr>
          <w:rFonts w:asciiTheme="minorHAnsi" w:hAnsiTheme="minorHAnsi" w:cstheme="minorHAnsi"/>
          <w:color w:val="000000" w:themeColor="text1"/>
          <w:sz w:val="20"/>
          <w:szCs w:val="20"/>
          <w:shd w:val="clear" w:color="auto" w:fill="FFFFFF"/>
          <w:lang w:val="en-US"/>
        </w:rPr>
        <w:t xml:space="preserve">, </w:t>
      </w:r>
      <w:r w:rsidR="008A5A7B" w:rsidRPr="00650689">
        <w:rPr>
          <w:rFonts w:asciiTheme="minorHAnsi" w:hAnsiTheme="minorHAnsi" w:cstheme="minorHAnsi"/>
          <w:i/>
          <w:iCs/>
          <w:color w:val="000000" w:themeColor="text1"/>
          <w:sz w:val="20"/>
          <w:szCs w:val="20"/>
          <w:shd w:val="clear" w:color="auto" w:fill="FFFFFF"/>
          <w:lang w:val="en-US"/>
        </w:rPr>
        <w:t>The Legal Elements of European Identity: EU Citizenship and Migration Law</w:t>
      </w:r>
      <w:r w:rsidR="008A5A7B" w:rsidRPr="008A5A7B" w:rsidDel="000B2DDF">
        <w:rPr>
          <w:rFonts w:asciiTheme="minorHAnsi" w:hAnsiTheme="minorHAnsi" w:cstheme="minorHAnsi"/>
          <w:color w:val="000000" w:themeColor="text1"/>
          <w:sz w:val="20"/>
          <w:szCs w:val="20"/>
          <w:shd w:val="clear" w:color="auto" w:fill="FFFFFF"/>
          <w:lang w:val="en-US"/>
        </w:rPr>
        <w:t>,</w:t>
      </w:r>
      <w:r w:rsidR="008A5A7B" w:rsidRPr="008A5A7B">
        <w:rPr>
          <w:rFonts w:asciiTheme="minorHAnsi" w:hAnsiTheme="minorHAnsi" w:cstheme="minorHAnsi"/>
          <w:color w:val="000000" w:themeColor="text1"/>
          <w:sz w:val="20"/>
          <w:szCs w:val="20"/>
          <w:shd w:val="clear" w:color="auto" w:fill="FFFFFF"/>
          <w:lang w:val="en-US"/>
        </w:rPr>
        <w:t xml:space="preserve"> </w:t>
      </w:r>
      <w:r w:rsidR="000B2DDF">
        <w:rPr>
          <w:rFonts w:asciiTheme="minorHAnsi" w:hAnsiTheme="minorHAnsi" w:cstheme="minorHAnsi"/>
          <w:color w:val="000000" w:themeColor="text1"/>
          <w:sz w:val="20"/>
          <w:szCs w:val="20"/>
          <w:shd w:val="clear" w:color="auto" w:fill="FFFFFF"/>
          <w:lang w:val="en-US"/>
        </w:rPr>
        <w:t>(</w:t>
      </w:r>
      <w:r w:rsidR="008A5A7B" w:rsidRPr="008A5A7B">
        <w:rPr>
          <w:rFonts w:asciiTheme="minorHAnsi" w:hAnsiTheme="minorHAnsi" w:cstheme="minorHAnsi"/>
          <w:color w:val="000000" w:themeColor="text1"/>
          <w:sz w:val="20"/>
          <w:szCs w:val="20"/>
          <w:shd w:val="clear" w:color="auto" w:fill="FFFFFF"/>
          <w:lang w:val="en-US"/>
        </w:rPr>
        <w:t>Kluwer Law International, The Hague, 2004</w:t>
      </w:r>
      <w:r w:rsidR="000B2DDF">
        <w:rPr>
          <w:rFonts w:asciiTheme="minorHAnsi" w:hAnsiTheme="minorHAnsi" w:cstheme="minorHAnsi"/>
          <w:color w:val="000000" w:themeColor="text1"/>
          <w:sz w:val="20"/>
          <w:szCs w:val="20"/>
          <w:shd w:val="clear" w:color="auto" w:fill="FFFFFF"/>
          <w:lang w:val="en-US"/>
        </w:rPr>
        <w:t>)</w:t>
      </w:r>
      <w:r w:rsidR="008A5A7B">
        <w:rPr>
          <w:rFonts w:asciiTheme="minorHAnsi" w:hAnsiTheme="minorHAnsi" w:cstheme="minorHAnsi"/>
          <w:color w:val="000000" w:themeColor="text1"/>
          <w:sz w:val="20"/>
          <w:szCs w:val="20"/>
          <w:shd w:val="clear" w:color="auto" w:fill="FFFFFF"/>
          <w:lang w:val="en-US"/>
        </w:rPr>
        <w:t xml:space="preserve"> and E Guild, </w:t>
      </w:r>
      <w:r w:rsidR="000B2DDF">
        <w:rPr>
          <w:rFonts w:asciiTheme="minorHAnsi" w:hAnsiTheme="minorHAnsi" w:cstheme="minorHAnsi"/>
          <w:color w:val="000000" w:themeColor="text1"/>
          <w:sz w:val="20"/>
          <w:szCs w:val="20"/>
          <w:shd w:val="clear" w:color="auto" w:fill="FFFFFF"/>
          <w:lang w:val="en-US"/>
        </w:rPr>
        <w:t>‘</w:t>
      </w:r>
      <w:r w:rsidR="008A5A7B" w:rsidRPr="008A5A7B">
        <w:rPr>
          <w:rFonts w:asciiTheme="minorHAnsi" w:hAnsiTheme="minorHAnsi" w:cstheme="minorHAnsi"/>
          <w:color w:val="000000" w:themeColor="text1"/>
          <w:sz w:val="20"/>
          <w:szCs w:val="20"/>
          <w:shd w:val="clear" w:color="auto" w:fill="FFFFFF"/>
          <w:lang w:val="en-US"/>
        </w:rPr>
        <w:t>Citizenship, Immigration and the EU Charter</w:t>
      </w:r>
      <w:r w:rsidR="000B2DDF">
        <w:rPr>
          <w:rFonts w:asciiTheme="minorHAnsi" w:hAnsiTheme="minorHAnsi" w:cstheme="minorHAnsi"/>
          <w:color w:val="000000" w:themeColor="text1"/>
          <w:sz w:val="20"/>
          <w:szCs w:val="20"/>
          <w:shd w:val="clear" w:color="auto" w:fill="FFFFFF"/>
          <w:lang w:val="en-US"/>
        </w:rPr>
        <w:t>’</w:t>
      </w:r>
      <w:r w:rsidR="008A5A7B">
        <w:rPr>
          <w:rFonts w:asciiTheme="minorHAnsi" w:hAnsiTheme="minorHAnsi" w:cstheme="minorHAnsi"/>
          <w:color w:val="000000" w:themeColor="text1"/>
          <w:sz w:val="20"/>
          <w:szCs w:val="20"/>
          <w:shd w:val="clear" w:color="auto" w:fill="FFFFFF"/>
          <w:lang w:val="en-US"/>
        </w:rPr>
        <w:t xml:space="preserve"> </w:t>
      </w:r>
      <w:r w:rsidR="000B2DDF">
        <w:rPr>
          <w:rFonts w:asciiTheme="minorHAnsi" w:hAnsiTheme="minorHAnsi" w:cstheme="minorHAnsi"/>
          <w:color w:val="000000" w:themeColor="text1"/>
          <w:sz w:val="20"/>
          <w:szCs w:val="20"/>
          <w:shd w:val="clear" w:color="auto" w:fill="FFFFFF"/>
          <w:lang w:val="en-US"/>
        </w:rPr>
        <w:t>(</w:t>
      </w:r>
      <w:r w:rsidR="008A5A7B">
        <w:rPr>
          <w:rFonts w:asciiTheme="minorHAnsi" w:hAnsiTheme="minorHAnsi" w:cstheme="minorHAnsi"/>
          <w:color w:val="000000" w:themeColor="text1"/>
          <w:sz w:val="20"/>
          <w:szCs w:val="20"/>
          <w:shd w:val="clear" w:color="auto" w:fill="FFFFFF"/>
          <w:lang w:val="en-US"/>
        </w:rPr>
        <w:t xml:space="preserve">Paper </w:t>
      </w:r>
      <w:r w:rsidR="008A5A7B" w:rsidRPr="008A5A7B">
        <w:rPr>
          <w:rFonts w:asciiTheme="minorHAnsi" w:hAnsiTheme="minorHAnsi" w:cstheme="minorHAnsi"/>
          <w:color w:val="000000" w:themeColor="text1"/>
          <w:sz w:val="20"/>
          <w:szCs w:val="20"/>
          <w:shd w:val="clear" w:color="auto" w:fill="FFFFFF"/>
          <w:lang w:val="en-US"/>
        </w:rPr>
        <w:t>Presented at Experts’ brainstorming meeting on: Complementarity and conflicts between security and civil liberties</w:t>
      </w:r>
      <w:r w:rsidR="008A5A7B">
        <w:rPr>
          <w:rFonts w:asciiTheme="minorHAnsi" w:hAnsiTheme="minorHAnsi" w:cstheme="minorHAnsi"/>
          <w:color w:val="000000" w:themeColor="text1"/>
          <w:sz w:val="20"/>
          <w:szCs w:val="20"/>
          <w:shd w:val="clear" w:color="auto" w:fill="FFFFFF"/>
          <w:lang w:val="en-US"/>
        </w:rPr>
        <w:t xml:space="preserve">, </w:t>
      </w:r>
      <w:r w:rsidR="000B2DDF">
        <w:rPr>
          <w:rFonts w:asciiTheme="minorHAnsi" w:hAnsiTheme="minorHAnsi" w:cstheme="minorHAnsi"/>
          <w:color w:val="000000" w:themeColor="text1"/>
          <w:sz w:val="20"/>
          <w:szCs w:val="20"/>
          <w:shd w:val="clear" w:color="auto" w:fill="FFFFFF"/>
          <w:lang w:val="en-US"/>
        </w:rPr>
        <w:t xml:space="preserve">Brussels, </w:t>
      </w:r>
      <w:r w:rsidR="008A5A7B" w:rsidRPr="008A5A7B">
        <w:rPr>
          <w:rFonts w:asciiTheme="minorHAnsi" w:hAnsiTheme="minorHAnsi" w:cstheme="minorHAnsi"/>
          <w:color w:val="000000" w:themeColor="text1"/>
          <w:sz w:val="20"/>
          <w:szCs w:val="20"/>
          <w:shd w:val="clear" w:color="auto" w:fill="FFFFFF"/>
          <w:lang w:val="en-US"/>
        </w:rPr>
        <w:t>18 March 2002</w:t>
      </w:r>
      <w:r w:rsidR="000B2DDF">
        <w:rPr>
          <w:rFonts w:asciiTheme="minorHAnsi" w:hAnsiTheme="minorHAnsi" w:cstheme="minorHAnsi"/>
          <w:color w:val="000000" w:themeColor="text1"/>
          <w:sz w:val="20"/>
          <w:szCs w:val="20"/>
          <w:shd w:val="clear" w:color="auto" w:fill="FFFFFF"/>
          <w:lang w:val="en-US"/>
        </w:rPr>
        <w:t>)</w:t>
      </w:r>
      <w:r w:rsidR="008A5A7B" w:rsidDel="000B2DDF">
        <w:rPr>
          <w:rFonts w:asciiTheme="minorHAnsi" w:hAnsiTheme="minorHAnsi" w:cstheme="minorHAnsi"/>
          <w:color w:val="000000" w:themeColor="text1"/>
          <w:sz w:val="20"/>
          <w:szCs w:val="20"/>
          <w:shd w:val="clear" w:color="auto" w:fill="FFFFFF"/>
          <w:lang w:val="en-US"/>
        </w:rPr>
        <w:t>, Brussels</w:t>
      </w:r>
      <w:r w:rsidR="008A5A7B">
        <w:rPr>
          <w:rFonts w:asciiTheme="minorHAnsi" w:hAnsiTheme="minorHAnsi" w:cstheme="minorHAnsi"/>
          <w:color w:val="000000" w:themeColor="text1"/>
          <w:sz w:val="20"/>
          <w:szCs w:val="20"/>
          <w:shd w:val="clear" w:color="auto" w:fill="FFFFFF"/>
          <w:lang w:val="en-US"/>
        </w:rPr>
        <w:t>.</w:t>
      </w:r>
      <w:r w:rsidR="00606EB9">
        <w:rPr>
          <w:rFonts w:asciiTheme="minorHAnsi" w:hAnsiTheme="minorHAnsi" w:cstheme="minorHAnsi"/>
          <w:color w:val="000000" w:themeColor="text1"/>
          <w:sz w:val="20"/>
          <w:szCs w:val="20"/>
          <w:shd w:val="clear" w:color="auto" w:fill="FFFFFF"/>
          <w:lang w:val="en-US"/>
        </w:rPr>
        <w:t xml:space="preserve"> </w:t>
      </w:r>
    </w:p>
  </w:footnote>
  <w:footnote w:id="23">
    <w:p w14:paraId="268ACA8E" w14:textId="77ED4A8C" w:rsidR="00F938D8" w:rsidRPr="00F938D8" w:rsidRDefault="00F938D8" w:rsidP="007755E0">
      <w:pPr>
        <w:pStyle w:val="Notedebasdepage"/>
        <w:jc w:val="both"/>
        <w:rPr>
          <w:rFonts w:cstheme="minorHAnsi"/>
          <w:color w:val="000000" w:themeColor="text1"/>
          <w:lang w:val="en-US"/>
        </w:rPr>
      </w:pPr>
      <w:r w:rsidRPr="00650689">
        <w:rPr>
          <w:color w:val="000000" w:themeColor="text1"/>
          <w:shd w:val="clear" w:color="auto" w:fill="FFFFFF"/>
          <w:vertAlign w:val="superscript"/>
          <w:lang w:val="en-US"/>
        </w:rPr>
        <w:footnoteRef/>
      </w:r>
      <w:r w:rsidRPr="00665E9E">
        <w:rPr>
          <w:color w:val="000000" w:themeColor="text1"/>
          <w:shd w:val="clear" w:color="auto" w:fill="FFFFFF"/>
          <w:vertAlign w:val="superscript"/>
          <w:lang w:val="en-US"/>
        </w:rPr>
        <w:t xml:space="preserve"> </w:t>
      </w:r>
      <w:proofErr w:type="spellStart"/>
      <w:r w:rsidRPr="00650689">
        <w:rPr>
          <w:i/>
          <w:color w:val="000000" w:themeColor="text1"/>
          <w:shd w:val="clear" w:color="auto" w:fill="FFFFFF"/>
          <w:lang w:val="en-US"/>
        </w:rPr>
        <w:t>Soering</w:t>
      </w:r>
      <w:proofErr w:type="spellEnd"/>
      <w:r w:rsidRPr="00665E9E">
        <w:rPr>
          <w:color w:val="000000" w:themeColor="text1"/>
          <w:shd w:val="clear" w:color="auto" w:fill="FFFFFF"/>
          <w:lang w:val="en-US"/>
        </w:rPr>
        <w:t xml:space="preserve"> (n </w:t>
      </w:r>
      <w:r w:rsidR="00032523">
        <w:rPr>
          <w:rFonts w:cstheme="minorHAnsi"/>
          <w:color w:val="000000" w:themeColor="text1"/>
          <w:lang w:val="en-US"/>
        </w:rPr>
        <w:t>2</w:t>
      </w:r>
      <w:r w:rsidRPr="00665E9E">
        <w:rPr>
          <w:color w:val="000000" w:themeColor="text1"/>
          <w:shd w:val="clear" w:color="auto" w:fill="FFFFFF"/>
          <w:lang w:val="en-US"/>
        </w:rPr>
        <w:t>).</w:t>
      </w:r>
    </w:p>
  </w:footnote>
  <w:footnote w:id="24">
    <w:p w14:paraId="5C30DC06" w14:textId="12608CF9" w:rsidR="00EB7EBF" w:rsidRPr="001266B4" w:rsidRDefault="00F938D8" w:rsidP="001266B4">
      <w:pPr>
        <w:jc w:val="both"/>
        <w:rPr>
          <w:rFonts w:asciiTheme="minorHAnsi" w:hAnsiTheme="minorHAnsi" w:cstheme="minorHAnsi"/>
          <w:color w:val="000000" w:themeColor="text1"/>
          <w:sz w:val="20"/>
          <w:szCs w:val="20"/>
          <w:shd w:val="clear" w:color="auto" w:fill="FFFFFF"/>
          <w:lang w:val="en-US"/>
        </w:rPr>
      </w:pPr>
      <w:r w:rsidRPr="001266B4">
        <w:rPr>
          <w:rStyle w:val="Appelnotedebasdep"/>
          <w:rFonts w:asciiTheme="minorHAnsi" w:hAnsiTheme="minorHAnsi" w:cstheme="minorHAnsi"/>
          <w:color w:val="000000" w:themeColor="text1"/>
          <w:sz w:val="20"/>
          <w:szCs w:val="20"/>
        </w:rPr>
        <w:footnoteRef/>
      </w:r>
      <w:r w:rsidRPr="001266B4">
        <w:rPr>
          <w:rFonts w:asciiTheme="minorHAnsi" w:hAnsiTheme="minorHAnsi" w:cstheme="minorHAnsi"/>
          <w:color w:val="000000" w:themeColor="text1"/>
          <w:sz w:val="20"/>
          <w:szCs w:val="20"/>
          <w:lang w:val="en-US"/>
        </w:rPr>
        <w:t xml:space="preserve"> </w:t>
      </w:r>
      <w:r w:rsidRPr="001266B4">
        <w:rPr>
          <w:rFonts w:asciiTheme="minorHAnsi" w:hAnsiTheme="minorHAnsi" w:cstheme="minorHAnsi"/>
          <w:color w:val="000000" w:themeColor="text1"/>
          <w:sz w:val="20"/>
          <w:szCs w:val="20"/>
          <w:shd w:val="clear" w:color="auto" w:fill="FFFFFF"/>
          <w:lang w:val="en-US"/>
        </w:rPr>
        <w:t>Extradition Treaty Between the United States of America and the United Kingdom of Great Britain and Northern Ireland, and related exchanges of letters 2003</w:t>
      </w:r>
      <w:r w:rsidR="001266B4" w:rsidRPr="001266B4">
        <w:rPr>
          <w:rFonts w:asciiTheme="minorHAnsi" w:hAnsiTheme="minorHAnsi" w:cstheme="minorHAnsi"/>
          <w:color w:val="000000" w:themeColor="text1"/>
          <w:sz w:val="20"/>
          <w:szCs w:val="20"/>
          <w:shd w:val="clear" w:color="auto" w:fill="FFFFFF"/>
          <w:lang w:val="en-US"/>
        </w:rPr>
        <w:t>, of 31 March 2003, Treaty Series No. 13 (2007)</w:t>
      </w:r>
      <w:r w:rsidR="00665E9E">
        <w:rPr>
          <w:rFonts w:asciiTheme="minorHAnsi" w:hAnsiTheme="minorHAnsi" w:cstheme="minorHAnsi"/>
          <w:color w:val="000000" w:themeColor="text1"/>
          <w:sz w:val="20"/>
          <w:szCs w:val="20"/>
          <w:shd w:val="clear" w:color="auto" w:fill="FFFFFF"/>
          <w:lang w:val="en-US"/>
        </w:rPr>
        <w:t>.</w:t>
      </w:r>
    </w:p>
  </w:footnote>
  <w:footnote w:id="25">
    <w:p w14:paraId="3C8B069D" w14:textId="6551E321" w:rsidR="00F938D8" w:rsidRPr="00533D7F" w:rsidRDefault="00F938D8" w:rsidP="007755E0">
      <w:pPr>
        <w:autoSpaceDE w:val="0"/>
        <w:autoSpaceDN w:val="0"/>
        <w:adjustRightInd w:val="0"/>
        <w:jc w:val="both"/>
        <w:rPr>
          <w:rFonts w:asciiTheme="minorHAnsi" w:hAnsiTheme="minorHAnsi" w:cstheme="minorHAnsi"/>
          <w:sz w:val="20"/>
          <w:szCs w:val="20"/>
          <w:lang w:val="en-US"/>
        </w:rPr>
      </w:pPr>
      <w:r w:rsidRPr="00F938D8">
        <w:rPr>
          <w:rStyle w:val="Appelnotedebasdep"/>
          <w:rFonts w:asciiTheme="minorHAnsi" w:hAnsiTheme="minorHAnsi" w:cstheme="minorHAnsi"/>
          <w:color w:val="000000" w:themeColor="text1"/>
          <w:sz w:val="20"/>
          <w:szCs w:val="20"/>
        </w:rPr>
        <w:footnoteRef/>
      </w:r>
      <w:r w:rsidRPr="00F938D8">
        <w:rPr>
          <w:rFonts w:asciiTheme="minorHAnsi" w:hAnsiTheme="minorHAnsi" w:cstheme="minorHAnsi"/>
          <w:color w:val="000000" w:themeColor="text1"/>
          <w:sz w:val="20"/>
          <w:szCs w:val="20"/>
          <w:lang w:val="en-US"/>
        </w:rPr>
        <w:t xml:space="preserve"> To be more precise, the assurances that were given were not so much about the fact that the death penalty would be ruled out as a sentence, they were rather about the fact that the wish of the United Kingdom for the death penalty to be discarded </w:t>
      </w:r>
      <w:r w:rsidRPr="00533D7F">
        <w:rPr>
          <w:rFonts w:asciiTheme="minorHAnsi" w:hAnsiTheme="minorHAnsi" w:cstheme="minorHAnsi"/>
          <w:sz w:val="20"/>
          <w:szCs w:val="20"/>
          <w:lang w:val="en-US"/>
        </w:rPr>
        <w:t xml:space="preserve">(or not executed) would be represented in Court. The assurance given by the Bedford County Attorney indeed reads as follows: "I hereby certify that should Jens </w:t>
      </w:r>
      <w:proofErr w:type="spellStart"/>
      <w:r w:rsidRPr="00533D7F">
        <w:rPr>
          <w:rFonts w:asciiTheme="minorHAnsi" w:hAnsiTheme="minorHAnsi" w:cstheme="minorHAnsi"/>
          <w:sz w:val="20"/>
          <w:szCs w:val="20"/>
          <w:lang w:val="en-US"/>
        </w:rPr>
        <w:t>Soering</w:t>
      </w:r>
      <w:proofErr w:type="spellEnd"/>
      <w:r w:rsidRPr="00533D7F">
        <w:rPr>
          <w:rFonts w:asciiTheme="minorHAnsi" w:hAnsiTheme="minorHAnsi" w:cstheme="minorHAnsi"/>
          <w:sz w:val="20"/>
          <w:szCs w:val="20"/>
          <w:lang w:val="en-US"/>
        </w:rPr>
        <w:t xml:space="preserve"> be convicted of the offence of capital murder as charged in Bedford County, Virginia ... a representation will be made in the name of the United Kingdom to the judge at the time of sentencing that it is the wish of the United Kingdom that the death penalty should not be imposed or carried </w:t>
      </w:r>
      <w:r w:rsidRPr="00EC0808">
        <w:rPr>
          <w:rFonts w:asciiTheme="minorHAnsi" w:hAnsiTheme="minorHAnsi" w:cstheme="minorHAnsi"/>
          <w:sz w:val="20"/>
          <w:szCs w:val="20"/>
          <w:lang w:val="en-US"/>
        </w:rPr>
        <w:t xml:space="preserve">out." </w:t>
      </w:r>
      <w:proofErr w:type="spellStart"/>
      <w:r w:rsidRPr="00F938D8">
        <w:rPr>
          <w:rFonts w:asciiTheme="minorHAnsi" w:hAnsiTheme="minorHAnsi" w:cstheme="minorHAnsi"/>
          <w:i/>
          <w:iCs/>
          <w:color w:val="000000" w:themeColor="text1"/>
          <w:sz w:val="20"/>
          <w:szCs w:val="20"/>
          <w:lang w:val="en-US"/>
        </w:rPr>
        <w:t>Soering</w:t>
      </w:r>
      <w:proofErr w:type="spellEnd"/>
      <w:r w:rsidRPr="00F938D8">
        <w:rPr>
          <w:rFonts w:asciiTheme="minorHAnsi" w:hAnsiTheme="minorHAnsi" w:cstheme="minorHAnsi"/>
          <w:i/>
          <w:iCs/>
          <w:color w:val="000000" w:themeColor="text1"/>
          <w:sz w:val="20"/>
          <w:szCs w:val="20"/>
          <w:lang w:val="en-US"/>
        </w:rPr>
        <w:t xml:space="preserve"> </w:t>
      </w:r>
      <w:r w:rsidRPr="00F938D8">
        <w:rPr>
          <w:rFonts w:asciiTheme="minorHAnsi" w:hAnsiTheme="minorHAnsi" w:cstheme="minorHAnsi"/>
          <w:color w:val="000000" w:themeColor="text1"/>
          <w:sz w:val="20"/>
          <w:szCs w:val="20"/>
          <w:lang w:val="en-US"/>
        </w:rPr>
        <w:t xml:space="preserve">(n </w:t>
      </w:r>
      <w:r w:rsidR="00032523">
        <w:rPr>
          <w:rFonts w:asciiTheme="minorHAnsi" w:hAnsiTheme="minorHAnsi" w:cstheme="minorHAnsi"/>
          <w:color w:val="000000" w:themeColor="text1"/>
          <w:sz w:val="20"/>
          <w:szCs w:val="20"/>
          <w:lang w:val="en-US"/>
        </w:rPr>
        <w:t>2</w:t>
      </w:r>
      <w:r w:rsidRPr="00F938D8">
        <w:rPr>
          <w:rFonts w:asciiTheme="minorHAnsi" w:hAnsiTheme="minorHAnsi" w:cstheme="minorHAnsi"/>
          <w:color w:val="000000" w:themeColor="text1"/>
          <w:sz w:val="20"/>
          <w:szCs w:val="20"/>
          <w:lang w:val="en-US"/>
        </w:rPr>
        <w:t xml:space="preserve">), </w:t>
      </w:r>
      <w:r w:rsidRPr="00EC0808">
        <w:rPr>
          <w:rFonts w:asciiTheme="minorHAnsi" w:hAnsiTheme="minorHAnsi" w:cstheme="minorHAnsi"/>
          <w:sz w:val="20"/>
          <w:szCs w:val="20"/>
          <w:lang w:val="en-US"/>
        </w:rPr>
        <w:t>para 20</w:t>
      </w:r>
      <w:r w:rsidRPr="00533D7F">
        <w:rPr>
          <w:rFonts w:asciiTheme="minorHAnsi" w:hAnsiTheme="minorHAnsi" w:cstheme="minorHAnsi"/>
          <w:sz w:val="20"/>
          <w:szCs w:val="20"/>
          <w:lang w:val="en-US"/>
        </w:rPr>
        <w:t>.</w:t>
      </w:r>
    </w:p>
  </w:footnote>
  <w:footnote w:id="26">
    <w:p w14:paraId="152CF9E7" w14:textId="11BC1411"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w:t>
      </w:r>
      <w:r w:rsidRPr="00533D7F">
        <w:rPr>
          <w:rFonts w:cstheme="minorHAnsi"/>
          <w:color w:val="000000" w:themeColor="text1"/>
          <w:lang w:val="en-US"/>
        </w:rPr>
        <w:t>Ibid.</w:t>
      </w:r>
      <w:r w:rsidRPr="00533D7F">
        <w:rPr>
          <w:rFonts w:cstheme="minorHAnsi"/>
          <w:i/>
          <w:iCs/>
          <w:lang w:val="en-US"/>
        </w:rPr>
        <w:t xml:space="preserve"> </w:t>
      </w:r>
    </w:p>
  </w:footnote>
  <w:footnote w:id="27">
    <w:p w14:paraId="04F16D65" w14:textId="11835603" w:rsidR="00F938D8" w:rsidRPr="00F938D8" w:rsidRDefault="00F938D8" w:rsidP="007755E0">
      <w:pPr>
        <w:pStyle w:val="Notedebasdepage"/>
        <w:jc w:val="both"/>
        <w:rPr>
          <w:lang w:val="en-US"/>
        </w:rPr>
      </w:pPr>
      <w:r>
        <w:rPr>
          <w:rStyle w:val="Appelnotedebasdep"/>
        </w:rPr>
        <w:footnoteRef/>
      </w:r>
      <w:r w:rsidRPr="00F938D8">
        <w:rPr>
          <w:lang w:val="en-US"/>
        </w:rPr>
        <w:t xml:space="preserve"> Because </w:t>
      </w:r>
      <w:proofErr w:type="spellStart"/>
      <w:r>
        <w:rPr>
          <w:lang w:val="en-US"/>
        </w:rPr>
        <w:t>Soering</w:t>
      </w:r>
      <w:proofErr w:type="spellEnd"/>
      <w:r>
        <w:rPr>
          <w:lang w:val="en-US"/>
        </w:rPr>
        <w:t xml:space="preserve"> argued there was a risk he would be exposed to the death row phenomenon if sentenced to death in Virginia. Ibid., para 25.                                                                                                                                            </w:t>
      </w:r>
    </w:p>
  </w:footnote>
  <w:footnote w:id="28">
    <w:p w14:paraId="53991A58" w14:textId="76876F94" w:rsidR="00F938D8" w:rsidRPr="00533D7F" w:rsidRDefault="00F938D8" w:rsidP="007755E0">
      <w:pPr>
        <w:pStyle w:val="Notedebasdepage"/>
        <w:jc w:val="both"/>
        <w:rPr>
          <w:rFonts w:cstheme="minorHAnsi"/>
          <w:i/>
          <w:iCs/>
          <w:lang w:val="en-US"/>
        </w:rPr>
      </w:pPr>
      <w:r w:rsidRPr="00533D7F">
        <w:rPr>
          <w:rStyle w:val="Appelnotedebasdep"/>
          <w:rFonts w:cstheme="minorHAnsi"/>
        </w:rPr>
        <w:footnoteRef/>
      </w:r>
      <w:r w:rsidRPr="00533D7F">
        <w:rPr>
          <w:rFonts w:cstheme="minorHAnsi"/>
          <w:lang w:val="en-US"/>
        </w:rPr>
        <w:t xml:space="preserve"> </w:t>
      </w:r>
      <w:proofErr w:type="spellStart"/>
      <w:r w:rsidRPr="00533D7F">
        <w:rPr>
          <w:rFonts w:cstheme="minorHAnsi"/>
          <w:lang w:val="en-US"/>
        </w:rPr>
        <w:t>Soering</w:t>
      </w:r>
      <w:proofErr w:type="spellEnd"/>
      <w:r w:rsidRPr="00533D7F">
        <w:rPr>
          <w:rFonts w:cstheme="minorHAnsi"/>
          <w:lang w:val="en-US"/>
        </w:rPr>
        <w:t xml:space="preserve"> indeed claimed that due to the lack of legal aid in Virginia, his right to a fair trial would be impeded because he could not challenge his decision in Federal Courts. </w:t>
      </w:r>
      <w:r>
        <w:rPr>
          <w:rFonts w:cstheme="minorHAnsi"/>
          <w:lang w:val="en-US"/>
        </w:rPr>
        <w:t>Ibid., para 76.</w:t>
      </w:r>
    </w:p>
  </w:footnote>
  <w:footnote w:id="29">
    <w:p w14:paraId="7731E703" w14:textId="152215CB" w:rsidR="00F938D8" w:rsidRPr="00533D7F" w:rsidRDefault="00F938D8" w:rsidP="007755E0">
      <w:pPr>
        <w:pStyle w:val="Notedebasdepage"/>
        <w:jc w:val="both"/>
        <w:rPr>
          <w:rFonts w:cstheme="minorHAnsi"/>
          <w:i/>
          <w:iCs/>
          <w:lang w:val="en-US"/>
        </w:rPr>
      </w:pPr>
      <w:r w:rsidRPr="00533D7F">
        <w:rPr>
          <w:rStyle w:val="Appelnotedebasdep"/>
          <w:rFonts w:cstheme="minorHAnsi"/>
        </w:rPr>
        <w:footnoteRef/>
      </w:r>
      <w:r w:rsidRPr="00533D7F">
        <w:rPr>
          <w:rFonts w:cstheme="minorHAnsi"/>
          <w:lang w:val="en-US"/>
        </w:rPr>
        <w:t xml:space="preserve"> This is linked to the fact that </w:t>
      </w:r>
      <w:proofErr w:type="spellStart"/>
      <w:r w:rsidRPr="00533D7F">
        <w:rPr>
          <w:rFonts w:cstheme="minorHAnsi"/>
          <w:lang w:val="en-US"/>
        </w:rPr>
        <w:t>Soering</w:t>
      </w:r>
      <w:proofErr w:type="spellEnd"/>
      <w:r w:rsidRPr="00533D7F">
        <w:rPr>
          <w:rFonts w:cstheme="minorHAnsi"/>
          <w:lang w:val="en-US"/>
        </w:rPr>
        <w:t xml:space="preserve"> introduced a request for judicial review that the British judge rejected because the decision to be reviewed had not been rendered yet at the time </w:t>
      </w:r>
      <w:proofErr w:type="spellStart"/>
      <w:r w:rsidRPr="00533D7F">
        <w:rPr>
          <w:rFonts w:cstheme="minorHAnsi"/>
          <w:lang w:val="en-US"/>
        </w:rPr>
        <w:t>Soering</w:t>
      </w:r>
      <w:proofErr w:type="spellEnd"/>
      <w:r w:rsidRPr="00533D7F">
        <w:rPr>
          <w:rFonts w:cstheme="minorHAnsi"/>
          <w:lang w:val="en-US"/>
        </w:rPr>
        <w:t xml:space="preserve"> introduced the request. The request was thus considered to be premature. In addition, the Court found that, contrary to what </w:t>
      </w:r>
      <w:proofErr w:type="spellStart"/>
      <w:r w:rsidRPr="00533D7F">
        <w:rPr>
          <w:rFonts w:cstheme="minorHAnsi"/>
          <w:lang w:val="en-US"/>
        </w:rPr>
        <w:t>Soering</w:t>
      </w:r>
      <w:proofErr w:type="spellEnd"/>
      <w:r w:rsidRPr="00533D7F">
        <w:rPr>
          <w:rFonts w:cstheme="minorHAnsi"/>
          <w:lang w:val="en-US"/>
        </w:rPr>
        <w:t xml:space="preserve"> claimed, English law indeed provided opportunities for an effective remedy with respect to his complaint under article 3. Ibid.</w:t>
      </w:r>
      <w:r>
        <w:rPr>
          <w:rFonts w:cstheme="minorHAnsi"/>
          <w:lang w:val="en-US"/>
        </w:rPr>
        <w:t>, paras 22-23, 122-124.</w:t>
      </w:r>
    </w:p>
  </w:footnote>
  <w:footnote w:id="30">
    <w:p w14:paraId="5F6B7E1B" w14:textId="4DF37602" w:rsidR="00F938D8" w:rsidRPr="00533D7F" w:rsidRDefault="00F938D8" w:rsidP="007755E0">
      <w:pPr>
        <w:jc w:val="both"/>
        <w:textAlignment w:val="baseline"/>
        <w:rPr>
          <w:rFonts w:asciiTheme="minorHAnsi" w:hAnsiTheme="minorHAnsi" w:cstheme="minorHAnsi"/>
          <w:color w:val="323130"/>
          <w:sz w:val="21"/>
          <w:szCs w:val="21"/>
          <w:lang w:val="en-US"/>
        </w:rPr>
      </w:pPr>
      <w:r w:rsidRPr="00533D7F">
        <w:rPr>
          <w:rStyle w:val="Appelnotedebasdep"/>
          <w:rFonts w:asciiTheme="minorHAnsi" w:hAnsiTheme="minorHAnsi" w:cstheme="minorHAnsi"/>
          <w:sz w:val="20"/>
          <w:szCs w:val="20"/>
        </w:rPr>
        <w:footnoteRef/>
      </w:r>
      <w:r w:rsidRPr="00533D7F">
        <w:rPr>
          <w:rFonts w:asciiTheme="minorHAnsi" w:hAnsiTheme="minorHAnsi" w:cstheme="minorHAnsi"/>
          <w:sz w:val="20"/>
          <w:szCs w:val="20"/>
          <w:lang w:val="en-US"/>
        </w:rPr>
        <w:t xml:space="preserve"> European Database of Asylum Law (EDAL), ‘ECtHR – </w:t>
      </w:r>
      <w:proofErr w:type="spellStart"/>
      <w:r w:rsidRPr="00533D7F">
        <w:rPr>
          <w:rFonts w:asciiTheme="minorHAnsi" w:hAnsiTheme="minorHAnsi" w:cstheme="minorHAnsi"/>
          <w:sz w:val="20"/>
          <w:szCs w:val="20"/>
          <w:lang w:val="en-US"/>
        </w:rPr>
        <w:t>Soering</w:t>
      </w:r>
      <w:proofErr w:type="spellEnd"/>
      <w:r w:rsidRPr="00533D7F">
        <w:rPr>
          <w:rFonts w:asciiTheme="minorHAnsi" w:hAnsiTheme="minorHAnsi" w:cstheme="minorHAnsi"/>
          <w:sz w:val="20"/>
          <w:szCs w:val="20"/>
          <w:lang w:val="en-US"/>
        </w:rPr>
        <w:t xml:space="preserve"> v. The United Kingdom, Application No. 14038/88, 7 July 1989’ &lt;https://www.asylumlawdatabase.eu/en/content/ecthr-soering-v-united-kingdom-application-no-1403888-7-july-1989&gt; Accessed 2 September 2020.</w:t>
      </w:r>
    </w:p>
  </w:footnote>
  <w:footnote w:id="31">
    <w:p w14:paraId="5BE71CF5" w14:textId="0138C686" w:rsidR="00F938D8" w:rsidRPr="00533D7F" w:rsidRDefault="00F938D8" w:rsidP="007755E0">
      <w:pPr>
        <w:pStyle w:val="Notedebasdepage"/>
        <w:jc w:val="both"/>
        <w:rPr>
          <w:rFonts w:cstheme="minorHAnsi"/>
          <w:i/>
          <w:iCs/>
          <w:lang w:val="en-US"/>
        </w:rPr>
      </w:pPr>
      <w:r w:rsidRPr="00533D7F">
        <w:rPr>
          <w:rStyle w:val="Appelnotedebasdep"/>
          <w:rFonts w:cstheme="minorHAnsi"/>
        </w:rPr>
        <w:footnoteRef/>
      </w:r>
      <w:r w:rsidRPr="00533D7F">
        <w:rPr>
          <w:rFonts w:cstheme="minorHAnsi"/>
          <w:lang w:val="en-US"/>
        </w:rPr>
        <w:t xml:space="preserve"> Ibid.</w:t>
      </w:r>
    </w:p>
  </w:footnote>
  <w:footnote w:id="32">
    <w:p w14:paraId="18020D53" w14:textId="0AFF5DBA"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w:t>
      </w:r>
      <w:proofErr w:type="spellStart"/>
      <w:r w:rsidRPr="00A3476A">
        <w:rPr>
          <w:rFonts w:cstheme="minorHAnsi"/>
          <w:i/>
          <w:iCs/>
          <w:color w:val="000000" w:themeColor="text1"/>
          <w:lang w:val="en-US"/>
        </w:rPr>
        <w:t>Soering</w:t>
      </w:r>
      <w:proofErr w:type="spellEnd"/>
      <w:r w:rsidRPr="00533D7F">
        <w:rPr>
          <w:rFonts w:cstheme="minorHAnsi"/>
          <w:color w:val="000000" w:themeColor="text1"/>
          <w:lang w:val="en-US"/>
        </w:rPr>
        <w:t xml:space="preserve"> (n </w:t>
      </w:r>
      <w:r w:rsidR="000D244A">
        <w:rPr>
          <w:rFonts w:cstheme="minorHAnsi"/>
          <w:color w:val="000000" w:themeColor="text1"/>
          <w:lang w:val="en-US"/>
        </w:rPr>
        <w:t>2</w:t>
      </w:r>
      <w:r w:rsidRPr="00533D7F">
        <w:rPr>
          <w:rFonts w:cstheme="minorHAnsi"/>
          <w:color w:val="000000" w:themeColor="text1"/>
          <w:lang w:val="en-US"/>
        </w:rPr>
        <w:t>), para 106.</w:t>
      </w:r>
    </w:p>
  </w:footnote>
  <w:footnote w:id="33">
    <w:p w14:paraId="6264804C" w14:textId="2C642A8E"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w:t>
      </w:r>
      <w:r w:rsidRPr="00533D7F">
        <w:rPr>
          <w:rFonts w:cstheme="minorHAnsi"/>
          <w:color w:val="000000" w:themeColor="text1"/>
          <w:lang w:val="en-US"/>
        </w:rPr>
        <w:t xml:space="preserve">Ibid., para 21. </w:t>
      </w:r>
    </w:p>
  </w:footnote>
  <w:footnote w:id="34">
    <w:p w14:paraId="69EA0709" w14:textId="68D152CC"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w:t>
      </w:r>
      <w:r w:rsidRPr="00533D7F">
        <w:rPr>
          <w:rFonts w:cstheme="minorHAnsi"/>
          <w:color w:val="000000" w:themeColor="text1"/>
          <w:lang w:val="en-US"/>
        </w:rPr>
        <w:t>Ibid., para 110.</w:t>
      </w:r>
    </w:p>
  </w:footnote>
  <w:footnote w:id="35">
    <w:p w14:paraId="47CE9DC2" w14:textId="4EC01309"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w:t>
      </w:r>
      <w:r>
        <w:rPr>
          <w:rFonts w:cstheme="minorHAnsi"/>
          <w:color w:val="000000" w:themeColor="text1"/>
          <w:lang w:val="en-US"/>
        </w:rPr>
        <w:t xml:space="preserve">Ibid., </w:t>
      </w:r>
      <w:r w:rsidRPr="00EC0808">
        <w:rPr>
          <w:rFonts w:cstheme="minorHAnsi"/>
          <w:color w:val="000000" w:themeColor="text1"/>
          <w:lang w:val="en-US"/>
        </w:rPr>
        <w:t>para</w:t>
      </w:r>
      <w:r w:rsidRPr="00533D7F">
        <w:rPr>
          <w:rFonts w:cstheme="minorHAnsi"/>
          <w:color w:val="000000" w:themeColor="text1"/>
          <w:lang w:val="en-US"/>
        </w:rPr>
        <w:t xml:space="preserve"> 111.</w:t>
      </w:r>
    </w:p>
  </w:footnote>
  <w:footnote w:id="36">
    <w:p w14:paraId="30727CB1" w14:textId="3B18800C"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Ibid., para 86.</w:t>
      </w:r>
    </w:p>
  </w:footnote>
  <w:footnote w:id="37">
    <w:p w14:paraId="276D815F" w14:textId="3746814F"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Ibid</w:t>
      </w:r>
      <w:r w:rsidRPr="00533D7F">
        <w:rPr>
          <w:rFonts w:cstheme="minorHAnsi"/>
          <w:i/>
          <w:iCs/>
          <w:lang w:val="en-US"/>
        </w:rPr>
        <w:t>.,</w:t>
      </w:r>
      <w:r w:rsidRPr="00533D7F">
        <w:rPr>
          <w:rFonts w:cstheme="minorHAnsi"/>
          <w:lang w:val="en-US"/>
        </w:rPr>
        <w:t xml:space="preserve"> paras 86-</w:t>
      </w:r>
      <w:r>
        <w:rPr>
          <w:rFonts w:cstheme="minorHAnsi"/>
          <w:lang w:val="en-US"/>
        </w:rPr>
        <w:t>8</w:t>
      </w:r>
      <w:r w:rsidRPr="00533D7F">
        <w:rPr>
          <w:rFonts w:cstheme="minorHAnsi"/>
          <w:lang w:val="en-US"/>
        </w:rPr>
        <w:t>7.</w:t>
      </w:r>
    </w:p>
  </w:footnote>
  <w:footnote w:id="38">
    <w:p w14:paraId="5447AAAE" w14:textId="22783362" w:rsidR="00F938D8" w:rsidRPr="00533D7F" w:rsidRDefault="00F938D8" w:rsidP="007755E0">
      <w:pPr>
        <w:pStyle w:val="Notedebasdepage"/>
        <w:jc w:val="both"/>
        <w:rPr>
          <w:rFonts w:cstheme="minorHAnsi"/>
          <w:lang w:val="en-US"/>
        </w:rPr>
      </w:pPr>
      <w:r w:rsidRPr="00533D7F">
        <w:rPr>
          <w:rStyle w:val="Appelnotedebasdep"/>
          <w:rFonts w:cstheme="minorHAnsi"/>
          <w:color w:val="000000" w:themeColor="text1"/>
        </w:rPr>
        <w:footnoteRef/>
      </w:r>
      <w:r w:rsidRPr="00533D7F">
        <w:rPr>
          <w:rFonts w:cstheme="minorHAnsi"/>
          <w:color w:val="000000" w:themeColor="text1"/>
          <w:lang w:val="en-US"/>
        </w:rPr>
        <w:t xml:space="preserve"> </w:t>
      </w:r>
      <w:r w:rsidRPr="00533D7F">
        <w:rPr>
          <w:rFonts w:eastAsia="Times New Roman" w:cstheme="minorHAnsi"/>
          <w:i/>
          <w:iCs/>
          <w:color w:val="000000" w:themeColor="text1"/>
          <w:shd w:val="clear" w:color="auto" w:fill="FFFFFF"/>
          <w:lang w:val="en-US" w:eastAsia="fr-FR"/>
        </w:rPr>
        <w:t>Othman (Abu Qatada) v UK</w:t>
      </w:r>
      <w:r w:rsidRPr="00533D7F">
        <w:rPr>
          <w:rFonts w:eastAsia="Times New Roman" w:cstheme="minorHAnsi"/>
          <w:color w:val="000000" w:themeColor="text1"/>
          <w:shd w:val="clear" w:color="auto" w:fill="FFFFFF"/>
          <w:lang w:val="en-US" w:eastAsia="fr-FR"/>
        </w:rPr>
        <w:t>, App no 8139/09 (ECtHR 17 January 2012)</w:t>
      </w:r>
      <w:r w:rsidRPr="00533D7F">
        <w:rPr>
          <w:rFonts w:cstheme="minorHAnsi"/>
          <w:lang w:val="en-US"/>
        </w:rPr>
        <w:t>.</w:t>
      </w:r>
    </w:p>
  </w:footnote>
  <w:footnote w:id="39">
    <w:p w14:paraId="35DEA0B4" w14:textId="01BB681D"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w:t>
      </w:r>
      <w:proofErr w:type="spellStart"/>
      <w:r w:rsidRPr="00A3476A">
        <w:rPr>
          <w:rFonts w:cstheme="minorHAnsi"/>
          <w:i/>
          <w:iCs/>
          <w:color w:val="000000" w:themeColor="text1"/>
          <w:lang w:val="en-US"/>
        </w:rPr>
        <w:t>Soering</w:t>
      </w:r>
      <w:proofErr w:type="spellEnd"/>
      <w:r w:rsidRPr="00533D7F">
        <w:rPr>
          <w:rFonts w:cstheme="minorHAnsi"/>
          <w:color w:val="000000" w:themeColor="text1"/>
          <w:lang w:val="en-US"/>
        </w:rPr>
        <w:t xml:space="preserve"> (n </w:t>
      </w:r>
      <w:r w:rsidR="000D244A">
        <w:rPr>
          <w:rFonts w:cstheme="minorHAnsi"/>
          <w:color w:val="000000" w:themeColor="text1"/>
          <w:lang w:val="en-US"/>
        </w:rPr>
        <w:t>2</w:t>
      </w:r>
      <w:r w:rsidRPr="00533D7F">
        <w:rPr>
          <w:rFonts w:cstheme="minorHAnsi"/>
          <w:color w:val="000000" w:themeColor="text1"/>
          <w:lang w:val="en-US"/>
        </w:rPr>
        <w:t>), para 113.</w:t>
      </w:r>
    </w:p>
  </w:footnote>
  <w:footnote w:id="40">
    <w:p w14:paraId="7F432CB5" w14:textId="05BB7EE1" w:rsidR="00F938D8" w:rsidRPr="005E342C" w:rsidRDefault="00F938D8" w:rsidP="007755E0">
      <w:pPr>
        <w:pStyle w:val="Notedebasdepage"/>
        <w:jc w:val="both"/>
        <w:rPr>
          <w:lang w:val="en-US"/>
        </w:rPr>
      </w:pPr>
      <w:r>
        <w:rPr>
          <w:rStyle w:val="Appelnotedebasdep"/>
        </w:rPr>
        <w:footnoteRef/>
      </w:r>
      <w:r w:rsidRPr="005E342C">
        <w:rPr>
          <w:lang w:val="en-US"/>
        </w:rPr>
        <w:t xml:space="preserve"> See in detail on the international cooperation-friendly nature of the </w:t>
      </w:r>
      <w:proofErr w:type="spellStart"/>
      <w:r w:rsidRPr="005E342C">
        <w:rPr>
          <w:i/>
          <w:iCs/>
          <w:lang w:val="en-US"/>
        </w:rPr>
        <w:t>Soering</w:t>
      </w:r>
      <w:proofErr w:type="spellEnd"/>
      <w:r w:rsidRPr="005E342C">
        <w:rPr>
          <w:lang w:val="en-US"/>
        </w:rPr>
        <w:t xml:space="preserve"> flagrant denial test, Van Hoek &amp; </w:t>
      </w:r>
      <w:proofErr w:type="spellStart"/>
      <w:r w:rsidRPr="005E342C">
        <w:rPr>
          <w:lang w:val="en-US"/>
        </w:rPr>
        <w:t>Luchtman</w:t>
      </w:r>
      <w:proofErr w:type="spellEnd"/>
      <w:r>
        <w:rPr>
          <w:lang w:val="en-US"/>
        </w:rPr>
        <w:t xml:space="preserve"> (n </w:t>
      </w:r>
      <w:r w:rsidR="001674CB">
        <w:rPr>
          <w:lang w:val="en-US"/>
        </w:rPr>
        <w:t>15</w:t>
      </w:r>
      <w:r>
        <w:rPr>
          <w:lang w:val="en-US"/>
        </w:rPr>
        <w:t>).</w:t>
      </w:r>
    </w:p>
  </w:footnote>
  <w:footnote w:id="41">
    <w:p w14:paraId="0C775209" w14:textId="0D95D537"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w:t>
      </w:r>
      <w:proofErr w:type="spellStart"/>
      <w:r w:rsidRPr="00533D7F">
        <w:rPr>
          <w:rFonts w:cstheme="minorHAnsi"/>
          <w:i/>
          <w:iCs/>
          <w:lang w:val="en-US"/>
        </w:rPr>
        <w:t>Güzelyurtlu</w:t>
      </w:r>
      <w:proofErr w:type="spellEnd"/>
      <w:r w:rsidRPr="00533D7F">
        <w:rPr>
          <w:rFonts w:cstheme="minorHAnsi"/>
          <w:i/>
          <w:iCs/>
          <w:lang w:val="en-US"/>
        </w:rPr>
        <w:t xml:space="preserve"> </w:t>
      </w:r>
      <w:r>
        <w:rPr>
          <w:rFonts w:cstheme="minorHAnsi"/>
          <w:lang w:val="en-US"/>
        </w:rPr>
        <w:t xml:space="preserve">(n </w:t>
      </w:r>
      <w:r w:rsidR="000D244A">
        <w:rPr>
          <w:rFonts w:cstheme="minorHAnsi"/>
          <w:lang w:val="en-US"/>
        </w:rPr>
        <w:t>3</w:t>
      </w:r>
      <w:r w:rsidRPr="00533D7F">
        <w:rPr>
          <w:rFonts w:cstheme="minorHAnsi"/>
          <w:lang w:val="en-US"/>
        </w:rPr>
        <w:t>).</w:t>
      </w:r>
    </w:p>
  </w:footnote>
  <w:footnote w:id="42">
    <w:p w14:paraId="53E8A498" w14:textId="3075C2BB" w:rsidR="00F938D8" w:rsidRPr="00533D7F" w:rsidRDefault="00F938D8" w:rsidP="007755E0">
      <w:pPr>
        <w:pStyle w:val="Titre1"/>
        <w:spacing w:before="0"/>
        <w:jc w:val="both"/>
        <w:textAlignment w:val="baseline"/>
        <w:rPr>
          <w:rFonts w:asciiTheme="minorHAnsi" w:eastAsia="Times New Roman" w:hAnsiTheme="minorHAnsi" w:cstheme="minorHAnsi"/>
          <w:b/>
          <w:bCs/>
          <w:color w:val="333333"/>
          <w:kern w:val="36"/>
          <w:sz w:val="48"/>
          <w:szCs w:val="48"/>
          <w:lang w:val="en-US" w:eastAsia="fr-FR"/>
        </w:rPr>
      </w:pPr>
      <w:r w:rsidRPr="00533D7F">
        <w:rPr>
          <w:rStyle w:val="Appelnotedebasdep"/>
          <w:rFonts w:asciiTheme="minorHAnsi" w:hAnsiTheme="minorHAnsi" w:cstheme="minorHAnsi"/>
          <w:color w:val="000000" w:themeColor="text1"/>
          <w:sz w:val="20"/>
          <w:szCs w:val="20"/>
        </w:rPr>
        <w:footnoteRef/>
      </w:r>
      <w:r w:rsidRPr="00533D7F">
        <w:rPr>
          <w:rFonts w:asciiTheme="minorHAnsi" w:hAnsiTheme="minorHAnsi" w:cstheme="minorHAnsi"/>
          <w:color w:val="000000" w:themeColor="text1"/>
          <w:sz w:val="20"/>
          <w:szCs w:val="20"/>
          <w:lang w:val="en-US"/>
        </w:rPr>
        <w:t xml:space="preserve"> </w:t>
      </w:r>
      <w:r w:rsidRPr="00533D7F">
        <w:rPr>
          <w:rFonts w:asciiTheme="minorHAnsi" w:eastAsia="Times New Roman" w:hAnsiTheme="minorHAnsi" w:cstheme="minorHAnsi"/>
          <w:color w:val="000000" w:themeColor="text1"/>
          <w:sz w:val="20"/>
          <w:szCs w:val="20"/>
          <w:bdr w:val="none" w:sz="0" w:space="0" w:color="auto" w:frame="1"/>
          <w:lang w:val="en-US" w:eastAsia="fr-FR"/>
        </w:rPr>
        <w:t xml:space="preserve">N </w:t>
      </w:r>
      <w:proofErr w:type="spellStart"/>
      <w:r w:rsidRPr="00533D7F">
        <w:rPr>
          <w:rFonts w:asciiTheme="minorHAnsi" w:eastAsia="Times New Roman" w:hAnsiTheme="minorHAnsi" w:cstheme="minorHAnsi"/>
          <w:color w:val="000000" w:themeColor="text1"/>
          <w:sz w:val="20"/>
          <w:szCs w:val="20"/>
          <w:bdr w:val="none" w:sz="0" w:space="0" w:color="auto" w:frame="1"/>
          <w:lang w:val="en-GB" w:eastAsia="fr-FR"/>
        </w:rPr>
        <w:t>Hadjigeorgiou</w:t>
      </w:r>
      <w:proofErr w:type="spellEnd"/>
      <w:r w:rsidRPr="00533D7F">
        <w:rPr>
          <w:rFonts w:asciiTheme="minorHAnsi" w:eastAsia="Times New Roman" w:hAnsiTheme="minorHAnsi" w:cstheme="minorHAnsi"/>
          <w:color w:val="000000" w:themeColor="text1"/>
          <w:sz w:val="20"/>
          <w:szCs w:val="20"/>
          <w:bdr w:val="none" w:sz="0" w:space="0" w:color="auto" w:frame="1"/>
          <w:lang w:val="en-GB" w:eastAsia="fr-FR"/>
        </w:rPr>
        <w:t>, ‘</w:t>
      </w:r>
      <w:proofErr w:type="spellStart"/>
      <w:r w:rsidRPr="00533D7F">
        <w:rPr>
          <w:rFonts w:asciiTheme="minorHAnsi" w:eastAsia="Times New Roman" w:hAnsiTheme="minorHAnsi" w:cstheme="minorHAnsi"/>
          <w:color w:val="000000" w:themeColor="text1"/>
          <w:kern w:val="36"/>
          <w:sz w:val="20"/>
          <w:szCs w:val="20"/>
          <w:lang w:val="en-US" w:eastAsia="fr-FR"/>
        </w:rPr>
        <w:t>Güzelyurtlu</w:t>
      </w:r>
      <w:proofErr w:type="spellEnd"/>
      <w:r w:rsidRPr="00533D7F">
        <w:rPr>
          <w:rFonts w:asciiTheme="minorHAnsi" w:eastAsia="Times New Roman" w:hAnsiTheme="minorHAnsi" w:cstheme="minorHAnsi"/>
          <w:color w:val="000000" w:themeColor="text1"/>
          <w:kern w:val="36"/>
          <w:sz w:val="20"/>
          <w:szCs w:val="20"/>
          <w:lang w:val="en-US" w:eastAsia="fr-FR"/>
        </w:rPr>
        <w:t xml:space="preserve"> and Others v. Cyprus and Turkey: An Important Legal Development or a Step Too Far?</w:t>
      </w:r>
      <w:r w:rsidRPr="00533D7F">
        <w:rPr>
          <w:rFonts w:asciiTheme="minorHAnsi" w:eastAsia="Times New Roman" w:hAnsiTheme="minorHAnsi" w:cstheme="minorHAnsi"/>
          <w:color w:val="000000" w:themeColor="text1"/>
          <w:sz w:val="20"/>
          <w:szCs w:val="20"/>
          <w:bdr w:val="none" w:sz="0" w:space="0" w:color="auto" w:frame="1"/>
          <w:lang w:val="en-GB" w:eastAsia="fr-FR"/>
        </w:rPr>
        <w:t>’ (</w:t>
      </w:r>
      <w:r w:rsidRPr="00533D7F">
        <w:rPr>
          <w:rFonts w:asciiTheme="minorHAnsi" w:eastAsia="Times New Roman" w:hAnsiTheme="minorHAnsi" w:cstheme="minorHAnsi"/>
          <w:i/>
          <w:iCs/>
          <w:color w:val="000000" w:themeColor="text1"/>
          <w:sz w:val="20"/>
          <w:szCs w:val="20"/>
          <w:bdr w:val="none" w:sz="0" w:space="0" w:color="auto" w:frame="1"/>
          <w:lang w:val="en-GB" w:eastAsia="fr-FR"/>
        </w:rPr>
        <w:t>Crossroads Europe</w:t>
      </w:r>
      <w:r w:rsidRPr="00533D7F">
        <w:rPr>
          <w:rFonts w:asciiTheme="minorHAnsi" w:eastAsia="Times New Roman" w:hAnsiTheme="minorHAnsi" w:cstheme="minorHAnsi"/>
          <w:color w:val="000000" w:themeColor="text1"/>
          <w:sz w:val="20"/>
          <w:szCs w:val="20"/>
          <w:bdr w:val="none" w:sz="0" w:space="0" w:color="auto" w:frame="1"/>
          <w:lang w:val="en-GB" w:eastAsia="fr-FR"/>
        </w:rPr>
        <w:t>, 27 November 2019) &lt;https://crossroads.ideasoneurope.eu/2019/11/27/guzelyurtlu-and-others-v-cyprus-and-turkey-an-important-legal-development-or-a-step-too-far/&gt; accessed 3 September 2020.</w:t>
      </w:r>
    </w:p>
  </w:footnote>
  <w:footnote w:id="43">
    <w:p w14:paraId="45B69876" w14:textId="14C50877"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These more specifically refer to “meetings in the UN buffer zone between the police of both sides and the police of the British Sovereign Bases, the questioning of the suspects at the </w:t>
      </w:r>
      <w:proofErr w:type="spellStart"/>
      <w:r w:rsidRPr="00533D7F">
        <w:rPr>
          <w:rFonts w:cstheme="minorHAnsi"/>
          <w:lang w:val="en-US"/>
        </w:rPr>
        <w:t>Ledra</w:t>
      </w:r>
      <w:proofErr w:type="spellEnd"/>
      <w:r w:rsidRPr="00533D7F">
        <w:rPr>
          <w:rFonts w:cstheme="minorHAnsi"/>
          <w:lang w:val="en-US"/>
        </w:rPr>
        <w:t xml:space="preserve"> Palace Hotel in the UN buffer zone through “the video recording interview method”, the possibility of an ad hoc arrangement or trial at a neutral venue, the transfer of the suspects to a third State, and dealing with the issue on a technical services level”. </w:t>
      </w:r>
      <w:proofErr w:type="spellStart"/>
      <w:r w:rsidRPr="00533D7F">
        <w:rPr>
          <w:rFonts w:cstheme="minorHAnsi"/>
          <w:i/>
          <w:iCs/>
          <w:lang w:val="en-US"/>
        </w:rPr>
        <w:t>Güzelyurtlu</w:t>
      </w:r>
      <w:proofErr w:type="spellEnd"/>
      <w:r w:rsidRPr="00533D7F">
        <w:rPr>
          <w:rFonts w:cstheme="minorHAnsi"/>
          <w:lang w:val="en-US"/>
        </w:rPr>
        <w:t xml:space="preserve"> (n 3), para 256.</w:t>
      </w:r>
    </w:p>
  </w:footnote>
  <w:footnote w:id="44">
    <w:p w14:paraId="1FBE19B9" w14:textId="21DF6537" w:rsidR="00F938D8" w:rsidRPr="00533D7F" w:rsidRDefault="00F938D8" w:rsidP="007755E0">
      <w:pPr>
        <w:pStyle w:val="Notedebasdepage"/>
        <w:jc w:val="both"/>
        <w:rPr>
          <w:rFonts w:cstheme="minorHAnsi"/>
          <w:color w:val="000000" w:themeColor="text1"/>
          <w:lang w:val="en-US"/>
        </w:rPr>
      </w:pPr>
      <w:r w:rsidRPr="00533D7F">
        <w:rPr>
          <w:rStyle w:val="Appelnotedebasdep"/>
          <w:rFonts w:cstheme="minorHAnsi"/>
          <w:color w:val="000000" w:themeColor="text1"/>
        </w:rPr>
        <w:footnoteRef/>
      </w:r>
      <w:r w:rsidRPr="00533D7F">
        <w:rPr>
          <w:rFonts w:cstheme="minorHAnsi"/>
          <w:color w:val="000000" w:themeColor="text1"/>
          <w:lang w:val="en-US"/>
        </w:rPr>
        <w:t xml:space="preserve"> The suspects were indeed located in ‘TRNC’ as well as in mainland Turkey, both under Turkish jurisdiction (since the TRNC is only </w:t>
      </w:r>
      <w:proofErr w:type="spellStart"/>
      <w:r w:rsidRPr="00533D7F">
        <w:rPr>
          <w:rFonts w:cstheme="minorHAnsi"/>
          <w:color w:val="000000" w:themeColor="text1"/>
          <w:lang w:val="en-US"/>
        </w:rPr>
        <w:t>recognised</w:t>
      </w:r>
      <w:proofErr w:type="spellEnd"/>
      <w:r w:rsidRPr="00533D7F">
        <w:rPr>
          <w:rFonts w:cstheme="minorHAnsi"/>
          <w:color w:val="000000" w:themeColor="text1"/>
          <w:lang w:val="en-US"/>
        </w:rPr>
        <w:t xml:space="preserve"> by Turkey and that it is widely acknowledged that Turkey exercises effective control of the Northern part of the island).</w:t>
      </w:r>
    </w:p>
  </w:footnote>
  <w:footnote w:id="45">
    <w:p w14:paraId="30E87E1F" w14:textId="7A34FAD7" w:rsidR="00F938D8" w:rsidRPr="00533D7F" w:rsidRDefault="00F938D8" w:rsidP="007755E0">
      <w:pPr>
        <w:autoSpaceDE w:val="0"/>
        <w:autoSpaceDN w:val="0"/>
        <w:adjustRightInd w:val="0"/>
        <w:jc w:val="both"/>
        <w:rPr>
          <w:rFonts w:asciiTheme="minorHAnsi" w:hAnsiTheme="minorHAnsi" w:cstheme="minorHAnsi"/>
          <w:color w:val="0072BD"/>
          <w:sz w:val="28"/>
          <w:szCs w:val="28"/>
          <w:lang w:val="en-US"/>
        </w:rPr>
      </w:pPr>
      <w:r w:rsidRPr="00533D7F">
        <w:rPr>
          <w:rStyle w:val="Appelnotedebasdep"/>
          <w:rFonts w:asciiTheme="minorHAnsi" w:hAnsiTheme="minorHAnsi" w:cstheme="minorHAnsi"/>
          <w:color w:val="000000" w:themeColor="text1"/>
          <w:sz w:val="20"/>
          <w:szCs w:val="20"/>
        </w:rPr>
        <w:footnoteRef/>
      </w:r>
      <w:r w:rsidRPr="00533D7F">
        <w:rPr>
          <w:rFonts w:asciiTheme="minorHAnsi" w:hAnsiTheme="minorHAnsi" w:cstheme="minorHAnsi"/>
          <w:color w:val="000000" w:themeColor="text1"/>
          <w:sz w:val="20"/>
          <w:szCs w:val="20"/>
          <w:lang w:val="en-US"/>
        </w:rPr>
        <w:t xml:space="preserve"> European Court of Human Rights, ‘Lack of cooperation between Cyprus and Turkey resulted in an ineffective investigation in a murder case’ (press release), ECtHR 118 (2017) 3.</w:t>
      </w:r>
    </w:p>
  </w:footnote>
  <w:footnote w:id="46">
    <w:p w14:paraId="3C2B938A" w14:textId="53EBDE1E"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Ibid</w:t>
      </w:r>
      <w:r w:rsidRPr="00533D7F">
        <w:rPr>
          <w:rFonts w:cstheme="minorHAnsi"/>
          <w:i/>
          <w:iCs/>
          <w:lang w:val="en-US"/>
        </w:rPr>
        <w:t>.</w:t>
      </w:r>
    </w:p>
  </w:footnote>
  <w:footnote w:id="47">
    <w:p w14:paraId="44A323E0" w14:textId="60CFDD1E"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w:t>
      </w:r>
      <w:r w:rsidRPr="00533D7F">
        <w:rPr>
          <w:rFonts w:cstheme="minorHAnsi"/>
          <w:color w:val="000000" w:themeColor="text1"/>
          <w:lang w:val="en-US"/>
        </w:rPr>
        <w:t xml:space="preserve">Ibid. </w:t>
      </w:r>
      <w:r w:rsidRPr="00533D7F">
        <w:rPr>
          <w:rFonts w:cstheme="minorHAnsi"/>
          <w:lang w:val="en-US"/>
        </w:rPr>
        <w:t>4.</w:t>
      </w:r>
    </w:p>
  </w:footnote>
  <w:footnote w:id="48">
    <w:p w14:paraId="220848AC" w14:textId="5FFD802B"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Ibid.</w:t>
      </w:r>
    </w:p>
  </w:footnote>
  <w:footnote w:id="49">
    <w:p w14:paraId="63F8168A" w14:textId="482146B2"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w:t>
      </w:r>
      <w:proofErr w:type="spellStart"/>
      <w:r w:rsidRPr="00533D7F">
        <w:rPr>
          <w:rFonts w:cstheme="minorHAnsi"/>
          <w:i/>
          <w:iCs/>
          <w:lang w:val="en-US"/>
        </w:rPr>
        <w:t>Güzelyurtlu</w:t>
      </w:r>
      <w:proofErr w:type="spellEnd"/>
      <w:r w:rsidRPr="00533D7F">
        <w:rPr>
          <w:rFonts w:cstheme="minorHAnsi"/>
          <w:lang w:val="en-US"/>
        </w:rPr>
        <w:t xml:space="preserve"> (n </w:t>
      </w:r>
      <w:r w:rsidR="000D244A">
        <w:rPr>
          <w:rFonts w:cstheme="minorHAnsi"/>
          <w:lang w:val="en-US"/>
        </w:rPr>
        <w:t>3</w:t>
      </w:r>
      <w:r w:rsidRPr="00533D7F">
        <w:rPr>
          <w:rFonts w:cstheme="minorHAnsi"/>
          <w:lang w:val="en-US"/>
        </w:rPr>
        <w:t>), para 253.</w:t>
      </w:r>
    </w:p>
  </w:footnote>
  <w:footnote w:id="50">
    <w:p w14:paraId="4BFA5800" w14:textId="3D57CB35"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w:t>
      </w:r>
      <w:proofErr w:type="spellStart"/>
      <w:r w:rsidRPr="00533D7F">
        <w:rPr>
          <w:rFonts w:eastAsia="Times New Roman" w:cstheme="minorHAnsi"/>
          <w:color w:val="000000" w:themeColor="text1"/>
          <w:bdr w:val="none" w:sz="0" w:space="0" w:color="auto" w:frame="1"/>
          <w:lang w:val="en-GB" w:eastAsia="fr-FR"/>
        </w:rPr>
        <w:t>Hadjigeorgiou</w:t>
      </w:r>
      <w:proofErr w:type="spellEnd"/>
      <w:r w:rsidRPr="00533D7F">
        <w:rPr>
          <w:rFonts w:eastAsia="Times New Roman" w:cstheme="minorHAnsi"/>
          <w:color w:val="000000" w:themeColor="text1"/>
          <w:bdr w:val="none" w:sz="0" w:space="0" w:color="auto" w:frame="1"/>
          <w:lang w:val="en-GB" w:eastAsia="fr-FR"/>
        </w:rPr>
        <w:t xml:space="preserve"> (n </w:t>
      </w:r>
      <w:r>
        <w:rPr>
          <w:rFonts w:eastAsia="Times New Roman" w:cstheme="minorHAnsi"/>
          <w:color w:val="000000" w:themeColor="text1"/>
          <w:bdr w:val="none" w:sz="0" w:space="0" w:color="auto" w:frame="1"/>
          <w:lang w:val="en-GB" w:eastAsia="fr-FR"/>
        </w:rPr>
        <w:t>4</w:t>
      </w:r>
      <w:r w:rsidR="00516C2E">
        <w:rPr>
          <w:rFonts w:eastAsia="Times New Roman" w:cstheme="minorHAnsi"/>
          <w:color w:val="000000" w:themeColor="text1"/>
          <w:bdr w:val="none" w:sz="0" w:space="0" w:color="auto" w:frame="1"/>
          <w:lang w:val="en-GB" w:eastAsia="fr-FR"/>
        </w:rPr>
        <w:t>1</w:t>
      </w:r>
      <w:r w:rsidRPr="00533D7F">
        <w:rPr>
          <w:rFonts w:eastAsia="Times New Roman" w:cstheme="minorHAnsi"/>
          <w:color w:val="000000" w:themeColor="text1"/>
          <w:bdr w:val="none" w:sz="0" w:space="0" w:color="auto" w:frame="1"/>
          <w:lang w:val="en-GB" w:eastAsia="fr-FR"/>
        </w:rPr>
        <w:t>).</w:t>
      </w:r>
    </w:p>
  </w:footnote>
  <w:footnote w:id="51">
    <w:p w14:paraId="4C60EC14" w14:textId="5214A91A" w:rsidR="00F938D8" w:rsidRPr="00533D7F" w:rsidRDefault="00F938D8" w:rsidP="007755E0">
      <w:pPr>
        <w:jc w:val="both"/>
        <w:rPr>
          <w:rFonts w:asciiTheme="minorHAnsi" w:hAnsiTheme="minorHAnsi" w:cstheme="minorHAnsi"/>
          <w:sz w:val="20"/>
          <w:szCs w:val="20"/>
          <w:lang w:val="en-US"/>
        </w:rPr>
      </w:pPr>
      <w:r w:rsidRPr="00533D7F">
        <w:rPr>
          <w:rStyle w:val="Appelnotedebasdep"/>
          <w:rFonts w:asciiTheme="minorHAnsi" w:hAnsiTheme="minorHAnsi" w:cstheme="minorHAnsi"/>
          <w:color w:val="000000" w:themeColor="text1"/>
          <w:sz w:val="20"/>
          <w:szCs w:val="20"/>
        </w:rPr>
        <w:footnoteRef/>
      </w:r>
      <w:r w:rsidRPr="00533D7F">
        <w:rPr>
          <w:rFonts w:asciiTheme="minorHAnsi" w:hAnsiTheme="minorHAnsi" w:cstheme="minorHAnsi"/>
          <w:color w:val="000000" w:themeColor="text1"/>
          <w:sz w:val="20"/>
          <w:szCs w:val="20"/>
          <w:lang w:val="en-US"/>
        </w:rPr>
        <w:t xml:space="preserve"> </w:t>
      </w:r>
      <w:r w:rsidRPr="00533D7F">
        <w:rPr>
          <w:rStyle w:val="Accentuation"/>
          <w:rFonts w:asciiTheme="minorHAnsi" w:hAnsiTheme="minorHAnsi" w:cstheme="minorHAnsi"/>
          <w:color w:val="000000" w:themeColor="text1"/>
          <w:sz w:val="20"/>
          <w:szCs w:val="20"/>
          <w:bdr w:val="none" w:sz="0" w:space="0" w:color="auto" w:frame="1"/>
          <w:lang w:val="en-US"/>
        </w:rPr>
        <w:t xml:space="preserve">Mustafa </w:t>
      </w:r>
      <w:proofErr w:type="spellStart"/>
      <w:r w:rsidRPr="00533D7F">
        <w:rPr>
          <w:rStyle w:val="Accentuation"/>
          <w:rFonts w:asciiTheme="minorHAnsi" w:hAnsiTheme="minorHAnsi" w:cstheme="minorHAnsi"/>
          <w:color w:val="000000" w:themeColor="text1"/>
          <w:sz w:val="20"/>
          <w:szCs w:val="20"/>
          <w:bdr w:val="none" w:sz="0" w:space="0" w:color="auto" w:frame="1"/>
          <w:lang w:val="en-US"/>
        </w:rPr>
        <w:t>Tunç</w:t>
      </w:r>
      <w:proofErr w:type="spellEnd"/>
      <w:r w:rsidRPr="00533D7F">
        <w:rPr>
          <w:rStyle w:val="Accentuation"/>
          <w:rFonts w:asciiTheme="minorHAnsi" w:hAnsiTheme="minorHAnsi" w:cstheme="minorHAnsi"/>
          <w:color w:val="000000" w:themeColor="text1"/>
          <w:sz w:val="20"/>
          <w:szCs w:val="20"/>
          <w:bdr w:val="none" w:sz="0" w:space="0" w:color="auto" w:frame="1"/>
          <w:lang w:val="en-US"/>
        </w:rPr>
        <w:t xml:space="preserve"> and </w:t>
      </w:r>
      <w:proofErr w:type="spellStart"/>
      <w:r w:rsidRPr="00533D7F">
        <w:rPr>
          <w:rStyle w:val="Accentuation"/>
          <w:rFonts w:asciiTheme="minorHAnsi" w:hAnsiTheme="minorHAnsi" w:cstheme="minorHAnsi"/>
          <w:color w:val="000000" w:themeColor="text1"/>
          <w:sz w:val="20"/>
          <w:szCs w:val="20"/>
          <w:bdr w:val="none" w:sz="0" w:space="0" w:color="auto" w:frame="1"/>
          <w:lang w:val="en-US"/>
        </w:rPr>
        <w:t>Fecire</w:t>
      </w:r>
      <w:proofErr w:type="spellEnd"/>
      <w:r w:rsidRPr="00533D7F">
        <w:rPr>
          <w:rStyle w:val="Accentuation"/>
          <w:rFonts w:asciiTheme="minorHAnsi" w:hAnsiTheme="minorHAnsi" w:cstheme="minorHAnsi"/>
          <w:color w:val="000000" w:themeColor="text1"/>
          <w:sz w:val="20"/>
          <w:szCs w:val="20"/>
          <w:bdr w:val="none" w:sz="0" w:space="0" w:color="auto" w:frame="1"/>
          <w:lang w:val="en-US"/>
        </w:rPr>
        <w:t xml:space="preserve"> </w:t>
      </w:r>
      <w:proofErr w:type="spellStart"/>
      <w:r w:rsidRPr="00533D7F">
        <w:rPr>
          <w:rStyle w:val="Accentuation"/>
          <w:rFonts w:asciiTheme="minorHAnsi" w:hAnsiTheme="minorHAnsi" w:cstheme="minorHAnsi"/>
          <w:color w:val="000000" w:themeColor="text1"/>
          <w:sz w:val="20"/>
          <w:szCs w:val="20"/>
          <w:bdr w:val="none" w:sz="0" w:space="0" w:color="auto" w:frame="1"/>
          <w:lang w:val="en-US"/>
        </w:rPr>
        <w:t>Tunç</w:t>
      </w:r>
      <w:proofErr w:type="spellEnd"/>
      <w:r w:rsidRPr="00533D7F">
        <w:rPr>
          <w:rStyle w:val="Accentuation"/>
          <w:rFonts w:asciiTheme="minorHAnsi" w:hAnsiTheme="minorHAnsi" w:cstheme="minorHAnsi"/>
          <w:i w:val="0"/>
          <w:iCs w:val="0"/>
          <w:color w:val="000000" w:themeColor="text1"/>
          <w:sz w:val="20"/>
          <w:szCs w:val="20"/>
          <w:bdr w:val="none" w:sz="0" w:space="0" w:color="auto" w:frame="1"/>
          <w:lang w:val="en-US"/>
        </w:rPr>
        <w:t xml:space="preserve"> </w:t>
      </w:r>
      <w:r w:rsidRPr="00533D7F">
        <w:rPr>
          <w:rStyle w:val="Accentuation"/>
          <w:rFonts w:asciiTheme="minorHAnsi" w:hAnsiTheme="minorHAnsi" w:cstheme="minorHAnsi"/>
          <w:color w:val="000000" w:themeColor="text1"/>
          <w:sz w:val="20"/>
          <w:szCs w:val="20"/>
          <w:bdr w:val="none" w:sz="0" w:space="0" w:color="auto" w:frame="1"/>
          <w:lang w:val="en-US"/>
        </w:rPr>
        <w:t>v Turkey</w:t>
      </w:r>
      <w:r w:rsidRPr="00533D7F">
        <w:rPr>
          <w:rStyle w:val="apple-converted-space"/>
          <w:rFonts w:asciiTheme="minorHAnsi" w:hAnsiTheme="minorHAnsi" w:cstheme="minorHAnsi"/>
          <w:i/>
          <w:iCs/>
          <w:color w:val="000000" w:themeColor="text1"/>
          <w:sz w:val="20"/>
          <w:szCs w:val="20"/>
          <w:lang w:val="en-US"/>
        </w:rPr>
        <w:t xml:space="preserve">, </w:t>
      </w:r>
      <w:r w:rsidRPr="00533D7F">
        <w:rPr>
          <w:rFonts w:asciiTheme="minorHAnsi" w:hAnsiTheme="minorHAnsi" w:cstheme="minorHAnsi"/>
          <w:color w:val="000000" w:themeColor="text1"/>
          <w:sz w:val="20"/>
          <w:szCs w:val="20"/>
          <w:lang w:val="en-US"/>
        </w:rPr>
        <w:t xml:space="preserve">App </w:t>
      </w:r>
      <w:r w:rsidRPr="00533D7F">
        <w:rPr>
          <w:rFonts w:asciiTheme="minorHAnsi" w:eastAsiaTheme="majorEastAsia" w:hAnsiTheme="minorHAnsi" w:cstheme="minorHAnsi"/>
          <w:color w:val="000000" w:themeColor="text1"/>
          <w:sz w:val="20"/>
          <w:szCs w:val="20"/>
          <w:lang w:val="en-US"/>
        </w:rPr>
        <w:t>no. 24014/05 (ECtHR 14 April 2015)</w:t>
      </w:r>
      <w:r>
        <w:rPr>
          <w:rFonts w:asciiTheme="minorHAnsi" w:hAnsiTheme="minorHAnsi" w:cstheme="minorHAnsi"/>
          <w:color w:val="000000" w:themeColor="text1"/>
          <w:sz w:val="20"/>
          <w:szCs w:val="20"/>
          <w:lang w:val="en-US"/>
        </w:rPr>
        <w:t>.</w:t>
      </w:r>
    </w:p>
  </w:footnote>
  <w:footnote w:id="52">
    <w:p w14:paraId="2CEA3634" w14:textId="1D1CD37D" w:rsidR="00F938D8" w:rsidRPr="00533D7F" w:rsidRDefault="00F938D8" w:rsidP="007755E0">
      <w:pPr>
        <w:jc w:val="both"/>
        <w:rPr>
          <w:rFonts w:asciiTheme="minorHAnsi" w:hAnsiTheme="minorHAnsi" w:cstheme="minorHAnsi"/>
          <w:i/>
          <w:iCs/>
          <w:color w:val="000000" w:themeColor="text1"/>
          <w:sz w:val="20"/>
          <w:szCs w:val="20"/>
          <w:lang w:val="en-US"/>
        </w:rPr>
      </w:pPr>
      <w:r w:rsidRPr="00533D7F">
        <w:rPr>
          <w:rStyle w:val="Appelnotedebasdep"/>
          <w:rFonts w:asciiTheme="minorHAnsi" w:hAnsiTheme="minorHAnsi" w:cstheme="minorHAnsi"/>
          <w:sz w:val="20"/>
          <w:szCs w:val="20"/>
        </w:rPr>
        <w:footnoteRef/>
      </w:r>
      <w:r w:rsidRPr="00533D7F">
        <w:rPr>
          <w:rFonts w:asciiTheme="minorHAnsi" w:hAnsiTheme="minorHAnsi" w:cstheme="minorHAnsi"/>
          <w:sz w:val="20"/>
          <w:szCs w:val="20"/>
          <w:lang w:val="en-US"/>
        </w:rPr>
        <w:t xml:space="preserve"> </w:t>
      </w:r>
      <w:proofErr w:type="spellStart"/>
      <w:r w:rsidRPr="00533D7F">
        <w:rPr>
          <w:rFonts w:asciiTheme="minorHAnsi" w:hAnsiTheme="minorHAnsi" w:cstheme="minorHAnsi"/>
          <w:i/>
          <w:iCs/>
          <w:color w:val="000000" w:themeColor="text1"/>
          <w:sz w:val="20"/>
          <w:szCs w:val="20"/>
          <w:lang w:val="en-US"/>
        </w:rPr>
        <w:t>Emin</w:t>
      </w:r>
      <w:proofErr w:type="spellEnd"/>
      <w:r w:rsidRPr="00533D7F">
        <w:rPr>
          <w:rFonts w:asciiTheme="minorHAnsi" w:hAnsiTheme="minorHAnsi" w:cstheme="minorHAnsi"/>
          <w:i/>
          <w:iCs/>
          <w:color w:val="000000" w:themeColor="text1"/>
          <w:sz w:val="20"/>
          <w:szCs w:val="20"/>
          <w:lang w:val="en-US"/>
        </w:rPr>
        <w:t xml:space="preserve"> and others v Cy</w:t>
      </w:r>
      <w:r>
        <w:rPr>
          <w:rFonts w:asciiTheme="minorHAnsi" w:hAnsiTheme="minorHAnsi" w:cstheme="minorHAnsi"/>
          <w:i/>
          <w:iCs/>
          <w:color w:val="000000" w:themeColor="text1"/>
          <w:sz w:val="20"/>
          <w:szCs w:val="20"/>
          <w:lang w:val="en-US"/>
        </w:rPr>
        <w:t>pr</w:t>
      </w:r>
      <w:r w:rsidRPr="00533D7F">
        <w:rPr>
          <w:rFonts w:asciiTheme="minorHAnsi" w:hAnsiTheme="minorHAnsi" w:cstheme="minorHAnsi"/>
          <w:i/>
          <w:iCs/>
          <w:color w:val="000000" w:themeColor="text1"/>
          <w:sz w:val="20"/>
          <w:szCs w:val="20"/>
          <w:lang w:val="en-US"/>
        </w:rPr>
        <w:t>us and others</w:t>
      </w:r>
      <w:r w:rsidRPr="00533D7F">
        <w:rPr>
          <w:rFonts w:asciiTheme="minorHAnsi" w:hAnsiTheme="minorHAnsi" w:cstheme="minorHAnsi"/>
          <w:color w:val="000000" w:themeColor="text1"/>
          <w:sz w:val="20"/>
          <w:szCs w:val="20"/>
          <w:lang w:val="en-US"/>
        </w:rPr>
        <w:t xml:space="preserve">, App no </w:t>
      </w:r>
      <w:r w:rsidRPr="00533D7F">
        <w:rPr>
          <w:rFonts w:asciiTheme="minorHAnsi" w:eastAsiaTheme="majorEastAsia" w:hAnsiTheme="minorHAnsi" w:cstheme="minorHAnsi"/>
          <w:color w:val="000000" w:themeColor="text1"/>
          <w:sz w:val="20"/>
          <w:szCs w:val="20"/>
          <w:lang w:val="en-US"/>
        </w:rPr>
        <w:t>34144/05</w:t>
      </w:r>
      <w:r w:rsidRPr="00533D7F">
        <w:rPr>
          <w:rFonts w:asciiTheme="minorHAnsi" w:hAnsiTheme="minorHAnsi" w:cstheme="minorHAnsi"/>
          <w:color w:val="000000" w:themeColor="text1"/>
          <w:sz w:val="20"/>
          <w:szCs w:val="20"/>
          <w:lang w:val="en-US"/>
        </w:rPr>
        <w:t xml:space="preserve"> (ECtHR 27 March 2008), cited in: D Sartori, ‘</w:t>
      </w:r>
      <w:proofErr w:type="spellStart"/>
      <w:r w:rsidRPr="00533D7F">
        <w:rPr>
          <w:rFonts w:asciiTheme="minorHAnsi" w:hAnsiTheme="minorHAnsi" w:cstheme="minorHAnsi"/>
          <w:color w:val="000000" w:themeColor="text1"/>
          <w:sz w:val="20"/>
          <w:szCs w:val="20"/>
          <w:lang w:val="en-US"/>
        </w:rPr>
        <w:t>Güzelyurtlu</w:t>
      </w:r>
      <w:proofErr w:type="spellEnd"/>
      <w:r w:rsidRPr="00533D7F">
        <w:rPr>
          <w:rFonts w:asciiTheme="minorHAnsi" w:hAnsiTheme="minorHAnsi" w:cstheme="minorHAnsi"/>
          <w:color w:val="000000" w:themeColor="text1"/>
          <w:sz w:val="20"/>
          <w:szCs w:val="20"/>
          <w:lang w:val="en-US"/>
        </w:rPr>
        <w:t xml:space="preserve"> and others v. Cyprus and Turkey: the duty to cooperate under Article 2 ECHR’ (</w:t>
      </w:r>
      <w:r w:rsidRPr="00533D7F">
        <w:rPr>
          <w:rFonts w:asciiTheme="minorHAnsi" w:hAnsiTheme="minorHAnsi" w:cstheme="minorHAnsi"/>
          <w:i/>
          <w:iCs/>
          <w:color w:val="000000" w:themeColor="text1"/>
          <w:sz w:val="20"/>
          <w:szCs w:val="20"/>
          <w:lang w:val="en-US"/>
        </w:rPr>
        <w:t>International Law Blog</w:t>
      </w:r>
      <w:r w:rsidRPr="00533D7F">
        <w:rPr>
          <w:rFonts w:asciiTheme="minorHAnsi" w:hAnsiTheme="minorHAnsi" w:cstheme="minorHAnsi"/>
          <w:color w:val="000000" w:themeColor="text1"/>
          <w:sz w:val="20"/>
          <w:szCs w:val="20"/>
          <w:lang w:val="en-US"/>
        </w:rPr>
        <w:t>, 15 April 2019)</w:t>
      </w:r>
      <w:r w:rsidR="00701426">
        <w:rPr>
          <w:rFonts w:asciiTheme="minorHAnsi" w:hAnsiTheme="minorHAnsi" w:cstheme="minorHAnsi"/>
          <w:color w:val="000000" w:themeColor="text1"/>
          <w:sz w:val="20"/>
          <w:szCs w:val="20"/>
          <w:lang w:val="en-US"/>
        </w:rPr>
        <w:t> </w:t>
      </w:r>
      <w:r w:rsidRPr="00533D7F">
        <w:rPr>
          <w:rFonts w:asciiTheme="minorHAnsi" w:hAnsiTheme="minorHAnsi" w:cstheme="minorHAnsi"/>
          <w:color w:val="000000" w:themeColor="text1"/>
          <w:sz w:val="20"/>
          <w:szCs w:val="20"/>
          <w:lang w:val="en-US"/>
        </w:rPr>
        <w:t>&lt;https://internationallaw.blog/2019/04/15/guzelyurtlu-and-others-v-cyprus-and-turkey-the-duty-to-cooperate-under-article-2-echr/&gt; accessed 6 September 2020.</w:t>
      </w:r>
    </w:p>
  </w:footnote>
  <w:footnote w:id="53">
    <w:p w14:paraId="4EC56E27" w14:textId="5CF053C4" w:rsidR="00F938D8" w:rsidRPr="00533D7F" w:rsidRDefault="00F938D8" w:rsidP="007755E0">
      <w:pPr>
        <w:jc w:val="both"/>
        <w:rPr>
          <w:rFonts w:asciiTheme="minorHAnsi" w:hAnsiTheme="minorHAnsi" w:cstheme="minorHAnsi"/>
          <w:lang w:val="en-US"/>
        </w:rPr>
      </w:pPr>
      <w:r w:rsidRPr="00533D7F">
        <w:rPr>
          <w:rStyle w:val="Appelnotedebasdep"/>
          <w:rFonts w:asciiTheme="minorHAnsi" w:hAnsiTheme="minorHAnsi" w:cstheme="minorHAnsi"/>
          <w:color w:val="000000" w:themeColor="text1"/>
          <w:sz w:val="20"/>
          <w:szCs w:val="20"/>
        </w:rPr>
        <w:footnoteRef/>
      </w:r>
      <w:r w:rsidRPr="00533D7F">
        <w:rPr>
          <w:rFonts w:asciiTheme="minorHAnsi" w:hAnsiTheme="minorHAnsi" w:cstheme="minorHAnsi"/>
          <w:color w:val="000000" w:themeColor="text1"/>
          <w:sz w:val="20"/>
          <w:szCs w:val="20"/>
          <w:lang w:val="en-US"/>
        </w:rPr>
        <w:t xml:space="preserve"> </w:t>
      </w:r>
      <w:proofErr w:type="spellStart"/>
      <w:r w:rsidRPr="00533D7F">
        <w:rPr>
          <w:rFonts w:asciiTheme="minorHAnsi" w:hAnsiTheme="minorHAnsi" w:cstheme="minorHAnsi"/>
          <w:i/>
          <w:iCs/>
          <w:color w:val="000000" w:themeColor="text1"/>
          <w:sz w:val="20"/>
          <w:szCs w:val="20"/>
          <w:lang w:val="en-US"/>
        </w:rPr>
        <w:t>Rantsev</w:t>
      </w:r>
      <w:proofErr w:type="spellEnd"/>
      <w:r w:rsidRPr="00533D7F">
        <w:rPr>
          <w:rFonts w:asciiTheme="minorHAnsi" w:hAnsiTheme="minorHAnsi" w:cstheme="minorHAnsi"/>
          <w:i/>
          <w:iCs/>
          <w:color w:val="000000" w:themeColor="text1"/>
          <w:sz w:val="20"/>
          <w:szCs w:val="20"/>
          <w:lang w:val="en-US"/>
        </w:rPr>
        <w:t xml:space="preserve"> v Cyprus and Russia</w:t>
      </w:r>
      <w:r w:rsidRPr="00533D7F">
        <w:rPr>
          <w:rFonts w:asciiTheme="minorHAnsi" w:hAnsiTheme="minorHAnsi" w:cstheme="minorHAnsi"/>
          <w:color w:val="000000" w:themeColor="text1"/>
          <w:sz w:val="20"/>
          <w:szCs w:val="20"/>
          <w:lang w:val="en-US"/>
        </w:rPr>
        <w:t xml:space="preserve">, App no 25965/04 (ECtHR 7 January 2010), cited in Sartori (n </w:t>
      </w:r>
      <w:r>
        <w:rPr>
          <w:rFonts w:asciiTheme="minorHAnsi" w:hAnsiTheme="minorHAnsi" w:cstheme="minorHAnsi"/>
          <w:color w:val="000000" w:themeColor="text1"/>
          <w:sz w:val="20"/>
          <w:szCs w:val="20"/>
          <w:lang w:val="en-US"/>
        </w:rPr>
        <w:t>5</w:t>
      </w:r>
      <w:r w:rsidR="008C4CE2">
        <w:rPr>
          <w:rFonts w:asciiTheme="minorHAnsi" w:hAnsiTheme="minorHAnsi" w:cstheme="minorHAnsi"/>
          <w:color w:val="000000" w:themeColor="text1"/>
          <w:sz w:val="20"/>
          <w:szCs w:val="20"/>
          <w:lang w:val="en-US"/>
        </w:rPr>
        <w:t>1</w:t>
      </w:r>
      <w:r w:rsidRPr="00533D7F">
        <w:rPr>
          <w:rFonts w:asciiTheme="minorHAnsi" w:hAnsiTheme="minorHAnsi" w:cstheme="minorHAnsi"/>
          <w:color w:val="000000" w:themeColor="text1"/>
          <w:sz w:val="20"/>
          <w:szCs w:val="20"/>
          <w:lang w:val="en-US"/>
        </w:rPr>
        <w:t>)</w:t>
      </w:r>
    </w:p>
  </w:footnote>
  <w:footnote w:id="54">
    <w:p w14:paraId="0E530F22" w14:textId="50B5CC89"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w:t>
      </w:r>
      <w:proofErr w:type="spellStart"/>
      <w:r w:rsidRPr="00533D7F">
        <w:rPr>
          <w:rFonts w:cstheme="minorHAnsi"/>
          <w:i/>
          <w:iCs/>
          <w:lang w:val="en-US"/>
        </w:rPr>
        <w:t>Güzelyurtlu</w:t>
      </w:r>
      <w:proofErr w:type="spellEnd"/>
      <w:r w:rsidRPr="00533D7F">
        <w:rPr>
          <w:rFonts w:cstheme="minorHAnsi"/>
          <w:lang w:val="en-US"/>
        </w:rPr>
        <w:t xml:space="preserve"> (n </w:t>
      </w:r>
      <w:r w:rsidR="000D244A">
        <w:rPr>
          <w:rFonts w:cstheme="minorHAnsi"/>
          <w:lang w:val="en-US"/>
        </w:rPr>
        <w:t>3</w:t>
      </w:r>
      <w:r w:rsidRPr="00533D7F">
        <w:rPr>
          <w:rFonts w:cstheme="minorHAnsi"/>
          <w:lang w:val="en-US"/>
        </w:rPr>
        <w:t>), para 233.</w:t>
      </w:r>
    </w:p>
  </w:footnote>
  <w:footnote w:id="55">
    <w:p w14:paraId="2DD8D48F" w14:textId="0762A924"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Pr>
          <w:rFonts w:cstheme="minorHAnsi"/>
          <w:lang w:val="en-US"/>
        </w:rPr>
        <w:t xml:space="preserve"> A</w:t>
      </w:r>
      <w:r w:rsidRPr="00533D7F">
        <w:rPr>
          <w:rFonts w:cstheme="minorHAnsi"/>
          <w:lang w:val="en-US"/>
        </w:rPr>
        <w:t>lthough Turkey later partially contested their applicability regarding the territory of Cyprus</w:t>
      </w:r>
      <w:r>
        <w:rPr>
          <w:rFonts w:cstheme="minorHAnsi"/>
          <w:lang w:val="en-US"/>
        </w:rPr>
        <w:t>.</w:t>
      </w:r>
      <w:r w:rsidRPr="00533D7F">
        <w:rPr>
          <w:rFonts w:cstheme="minorHAnsi"/>
          <w:lang w:val="en-US"/>
        </w:rPr>
        <w:t xml:space="preserve"> Ibid</w:t>
      </w:r>
      <w:r w:rsidRPr="00533D7F">
        <w:rPr>
          <w:rFonts w:cstheme="minorHAnsi"/>
          <w:i/>
          <w:iCs/>
          <w:lang w:val="en-US"/>
        </w:rPr>
        <w:t>.</w:t>
      </w:r>
      <w:r w:rsidRPr="00533D7F">
        <w:rPr>
          <w:rFonts w:cstheme="minorHAnsi"/>
          <w:lang w:val="en-US"/>
        </w:rPr>
        <w:t>, para 240.</w:t>
      </w:r>
    </w:p>
  </w:footnote>
  <w:footnote w:id="56">
    <w:p w14:paraId="0D2B6730" w14:textId="6E52881B" w:rsidR="00F938D8" w:rsidRPr="00533D7F" w:rsidRDefault="00F938D8" w:rsidP="007755E0">
      <w:pPr>
        <w:pStyle w:val="Notedebasdepage"/>
        <w:jc w:val="both"/>
        <w:rPr>
          <w:rFonts w:cstheme="minorHAnsi"/>
          <w:i/>
          <w:iCs/>
          <w:lang w:val="en-US"/>
        </w:rPr>
      </w:pPr>
      <w:r w:rsidRPr="00533D7F">
        <w:rPr>
          <w:rStyle w:val="Appelnotedebasdep"/>
          <w:rFonts w:cstheme="minorHAnsi"/>
        </w:rPr>
        <w:footnoteRef/>
      </w:r>
      <w:r w:rsidRPr="00533D7F">
        <w:rPr>
          <w:rFonts w:cstheme="minorHAnsi"/>
          <w:lang w:val="en-US"/>
        </w:rPr>
        <w:t xml:space="preserve"> </w:t>
      </w:r>
      <w:r>
        <w:rPr>
          <w:rFonts w:cstheme="minorHAnsi"/>
          <w:lang w:val="en-US"/>
        </w:rPr>
        <w:t>Sartori</w:t>
      </w:r>
      <w:r w:rsidRPr="00533D7F">
        <w:rPr>
          <w:rFonts w:cstheme="minorHAnsi"/>
          <w:lang w:val="en-US"/>
        </w:rPr>
        <w:t xml:space="preserve"> (n </w:t>
      </w:r>
      <w:r>
        <w:rPr>
          <w:rFonts w:cstheme="minorHAnsi"/>
          <w:lang w:val="en-US"/>
        </w:rPr>
        <w:t>5</w:t>
      </w:r>
      <w:r w:rsidR="00187E58">
        <w:rPr>
          <w:rFonts w:cstheme="minorHAnsi"/>
          <w:lang w:val="en-US"/>
        </w:rPr>
        <w:t>1</w:t>
      </w:r>
      <w:r w:rsidRPr="00533D7F">
        <w:rPr>
          <w:rFonts w:cstheme="minorHAnsi"/>
          <w:lang w:val="en-US"/>
        </w:rPr>
        <w:t>)</w:t>
      </w:r>
      <w:r>
        <w:rPr>
          <w:rFonts w:cstheme="minorHAnsi"/>
          <w:lang w:val="en-US"/>
        </w:rPr>
        <w:t>.</w:t>
      </w:r>
    </w:p>
  </w:footnote>
  <w:footnote w:id="57">
    <w:p w14:paraId="01F79A31" w14:textId="411C7C20"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w:t>
      </w:r>
      <w:r w:rsidRPr="00533D7F">
        <w:rPr>
          <w:rFonts w:cstheme="minorHAnsi"/>
          <w:i/>
          <w:iCs/>
          <w:lang w:val="en-US"/>
        </w:rPr>
        <w:t>Romeo Casta</w:t>
      </w:r>
      <w:r w:rsidRPr="00533D7F">
        <w:rPr>
          <w:rStyle w:val="Accentuation"/>
          <w:rFonts w:cstheme="minorHAnsi"/>
          <w:color w:val="000000" w:themeColor="text1"/>
          <w:lang w:val="en-US"/>
        </w:rPr>
        <w:t>ñ</w:t>
      </w:r>
      <w:r w:rsidRPr="00533D7F">
        <w:rPr>
          <w:rStyle w:val="Accentuation"/>
          <w:rFonts w:eastAsiaTheme="majorEastAsia" w:cstheme="minorHAnsi"/>
          <w:color w:val="000000" w:themeColor="text1"/>
          <w:lang w:val="en-US"/>
        </w:rPr>
        <w:t>o</w:t>
      </w:r>
      <w:r w:rsidRPr="00533D7F">
        <w:rPr>
          <w:rStyle w:val="Accentuation"/>
          <w:rFonts w:eastAsiaTheme="majorEastAsia" w:cstheme="minorHAnsi"/>
          <w:i w:val="0"/>
          <w:iCs w:val="0"/>
          <w:color w:val="000000" w:themeColor="text1"/>
          <w:lang w:val="en-US"/>
        </w:rPr>
        <w:t xml:space="preserve"> </w:t>
      </w:r>
      <w:r>
        <w:rPr>
          <w:rStyle w:val="Accentuation"/>
          <w:rFonts w:eastAsiaTheme="majorEastAsia" w:cstheme="minorHAnsi"/>
          <w:i w:val="0"/>
          <w:iCs w:val="0"/>
          <w:color w:val="000000" w:themeColor="text1"/>
          <w:lang w:val="en-US"/>
        </w:rPr>
        <w:t>(n 4</w:t>
      </w:r>
      <w:r w:rsidRPr="00533D7F">
        <w:rPr>
          <w:rFonts w:cstheme="minorHAnsi"/>
          <w:lang w:val="en-US"/>
        </w:rPr>
        <w:t>), p</w:t>
      </w:r>
      <w:r>
        <w:rPr>
          <w:rFonts w:cstheme="minorHAnsi"/>
          <w:lang w:val="en-US"/>
        </w:rPr>
        <w:t>aras 7-12.</w:t>
      </w:r>
    </w:p>
  </w:footnote>
  <w:footnote w:id="58">
    <w:p w14:paraId="7204224D" w14:textId="3C6700FC"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w:t>
      </w:r>
      <w:r w:rsidRPr="00215119">
        <w:rPr>
          <w:rFonts w:cstheme="minorHAnsi"/>
          <w:lang w:val="en-US"/>
        </w:rPr>
        <w:t>Ibid.</w:t>
      </w:r>
      <w:r w:rsidRPr="00533D7F">
        <w:rPr>
          <w:rFonts w:cstheme="minorHAnsi"/>
          <w:lang w:val="en-US"/>
        </w:rPr>
        <w:t>, p</w:t>
      </w:r>
      <w:r>
        <w:rPr>
          <w:rFonts w:cstheme="minorHAnsi"/>
          <w:lang w:val="en-US"/>
        </w:rPr>
        <w:t>ara 12</w:t>
      </w:r>
      <w:r w:rsidRPr="00533D7F">
        <w:rPr>
          <w:rFonts w:cstheme="minorHAnsi"/>
          <w:lang w:val="en-US"/>
        </w:rPr>
        <w:t>.</w:t>
      </w:r>
    </w:p>
  </w:footnote>
  <w:footnote w:id="59">
    <w:p w14:paraId="45B0A495" w14:textId="77777777" w:rsidR="00771267" w:rsidRPr="00F938D8" w:rsidRDefault="00771267" w:rsidP="00771267">
      <w:pPr>
        <w:jc w:val="both"/>
        <w:rPr>
          <w:rFonts w:cstheme="minorHAnsi"/>
          <w:lang w:val="en-US"/>
        </w:rPr>
      </w:pPr>
      <w:r w:rsidRPr="00F938D8">
        <w:rPr>
          <w:rStyle w:val="Appelnotedebasdep"/>
          <w:rFonts w:asciiTheme="minorHAnsi" w:hAnsiTheme="minorHAnsi" w:cstheme="minorHAnsi"/>
          <w:sz w:val="20"/>
          <w:szCs w:val="20"/>
        </w:rPr>
        <w:footnoteRef/>
      </w:r>
      <w:r w:rsidRPr="00F938D8">
        <w:rPr>
          <w:rFonts w:asciiTheme="minorHAnsi" w:hAnsiTheme="minorHAnsi" w:cstheme="minorHAnsi"/>
          <w:sz w:val="20"/>
          <w:szCs w:val="20"/>
          <w:lang w:val="en-US"/>
        </w:rPr>
        <w:t xml:space="preserve"> Consolidated</w:t>
      </w:r>
      <w:r w:rsidRPr="00094D59">
        <w:rPr>
          <w:rFonts w:asciiTheme="minorHAnsi" w:hAnsiTheme="minorHAnsi" w:cstheme="minorHAnsi"/>
          <w:sz w:val="20"/>
          <w:szCs w:val="20"/>
          <w:lang w:val="en-US"/>
        </w:rPr>
        <w:t xml:space="preserve"> Version of the Treaty on European Union [2008] OJ C115/13</w:t>
      </w:r>
      <w:r>
        <w:rPr>
          <w:rFonts w:asciiTheme="minorHAnsi" w:hAnsiTheme="minorHAnsi" w:cstheme="minorHAnsi"/>
          <w:sz w:val="20"/>
          <w:szCs w:val="20"/>
          <w:lang w:val="en-US"/>
        </w:rPr>
        <w:t>, art. 2.</w:t>
      </w:r>
    </w:p>
  </w:footnote>
  <w:footnote w:id="60">
    <w:p w14:paraId="24A6AF3D" w14:textId="77777777" w:rsidR="00771267" w:rsidRPr="00F938D8" w:rsidRDefault="00771267" w:rsidP="00771267">
      <w:pPr>
        <w:jc w:val="both"/>
        <w:rPr>
          <w:rFonts w:cstheme="minorHAnsi"/>
          <w:lang w:val="en-US"/>
        </w:rPr>
      </w:pPr>
      <w:r w:rsidRPr="00F938D8">
        <w:rPr>
          <w:rStyle w:val="Appelnotedebasdep"/>
          <w:rFonts w:asciiTheme="minorHAnsi" w:hAnsiTheme="minorHAnsi" w:cstheme="minorHAnsi"/>
          <w:sz w:val="20"/>
          <w:szCs w:val="20"/>
        </w:rPr>
        <w:footnoteRef/>
      </w:r>
      <w:r w:rsidRPr="00F938D8">
        <w:rPr>
          <w:rFonts w:asciiTheme="minorHAnsi" w:hAnsiTheme="minorHAnsi" w:cstheme="minorHAnsi"/>
          <w:sz w:val="20"/>
          <w:szCs w:val="20"/>
          <w:lang w:val="en-US"/>
        </w:rPr>
        <w:t xml:space="preserve"> </w:t>
      </w:r>
      <w:r w:rsidRPr="00F938D8">
        <w:rPr>
          <w:rFonts w:asciiTheme="minorHAnsi" w:hAnsiTheme="minorHAnsi" w:cstheme="minorHAnsi"/>
          <w:color w:val="000000"/>
          <w:sz w:val="20"/>
          <w:szCs w:val="20"/>
          <w:lang w:val="en-US"/>
        </w:rPr>
        <w:t>Case C</w:t>
      </w:r>
      <w:r w:rsidRPr="00F938D8">
        <w:rPr>
          <w:rFonts w:asciiTheme="minorHAnsi" w:hAnsiTheme="minorHAnsi" w:cstheme="minorHAnsi"/>
          <w:color w:val="000000"/>
          <w:sz w:val="20"/>
          <w:szCs w:val="20"/>
          <w:lang w:val="en-US"/>
        </w:rPr>
        <w:noBreakHyphen/>
        <w:t xml:space="preserve">220/18 PPU, ML v </w:t>
      </w:r>
      <w:proofErr w:type="spellStart"/>
      <w:r w:rsidRPr="00F938D8">
        <w:rPr>
          <w:rFonts w:asciiTheme="minorHAnsi" w:hAnsiTheme="minorHAnsi" w:cstheme="minorHAnsi"/>
          <w:color w:val="000000"/>
          <w:sz w:val="20"/>
          <w:szCs w:val="20"/>
          <w:lang w:val="en-US"/>
        </w:rPr>
        <w:t>Generalstaatsanwaltschaft</w:t>
      </w:r>
      <w:proofErr w:type="spellEnd"/>
      <w:r w:rsidRPr="00F938D8">
        <w:rPr>
          <w:rFonts w:asciiTheme="minorHAnsi" w:hAnsiTheme="minorHAnsi" w:cstheme="minorHAnsi"/>
          <w:color w:val="000000"/>
          <w:sz w:val="20"/>
          <w:szCs w:val="20"/>
          <w:lang w:val="en-US"/>
        </w:rPr>
        <w:t xml:space="preserve"> Bremen</w:t>
      </w:r>
      <w:r w:rsidRPr="00F938D8">
        <w:rPr>
          <w:rFonts w:asciiTheme="minorHAnsi" w:hAnsiTheme="minorHAnsi" w:cstheme="minorHAnsi"/>
          <w:sz w:val="20"/>
          <w:szCs w:val="20"/>
          <w:lang w:val="en-US"/>
        </w:rPr>
        <w:t xml:space="preserve"> [2018] </w:t>
      </w:r>
      <w:r w:rsidRPr="00F938D8">
        <w:rPr>
          <w:rFonts w:asciiTheme="minorHAnsi" w:hAnsiTheme="minorHAnsi" w:cstheme="minorHAnsi"/>
          <w:color w:val="000000" w:themeColor="text1"/>
          <w:sz w:val="20"/>
          <w:szCs w:val="20"/>
          <w:shd w:val="clear" w:color="auto" w:fill="FFFFFF"/>
          <w:lang w:val="en-GB"/>
        </w:rPr>
        <w:t xml:space="preserve">ECR – General, </w:t>
      </w:r>
      <w:r w:rsidRPr="00F938D8">
        <w:rPr>
          <w:rFonts w:asciiTheme="minorHAnsi" w:hAnsiTheme="minorHAnsi" w:cstheme="minorHAnsi"/>
          <w:sz w:val="20"/>
          <w:szCs w:val="20"/>
          <w:lang w:val="en-US"/>
        </w:rPr>
        <w:t>para. 48.</w:t>
      </w:r>
    </w:p>
  </w:footnote>
  <w:footnote w:id="61">
    <w:p w14:paraId="72957995" w14:textId="39E6544A"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w:t>
      </w:r>
      <w:r w:rsidRPr="00533D7F">
        <w:rPr>
          <w:rFonts w:cstheme="minorHAnsi"/>
          <w:i/>
          <w:iCs/>
          <w:lang w:val="en-US"/>
        </w:rPr>
        <w:t xml:space="preserve">Romeo </w:t>
      </w:r>
      <w:proofErr w:type="spellStart"/>
      <w:r w:rsidRPr="00533D7F">
        <w:rPr>
          <w:rFonts w:cstheme="minorHAnsi"/>
          <w:i/>
          <w:iCs/>
          <w:lang w:val="en-US"/>
        </w:rPr>
        <w:t>Casta</w:t>
      </w:r>
      <w:r w:rsidRPr="00533D7F">
        <w:rPr>
          <w:rStyle w:val="Accentuation"/>
          <w:rFonts w:cstheme="minorHAnsi"/>
          <w:color w:val="000000" w:themeColor="text1"/>
          <w:lang w:val="en-US"/>
        </w:rPr>
        <w:t>ñ</w:t>
      </w:r>
      <w:r w:rsidRPr="00533D7F">
        <w:rPr>
          <w:rStyle w:val="Accentuation"/>
          <w:rFonts w:eastAsiaTheme="majorEastAsia" w:cstheme="minorHAnsi"/>
          <w:color w:val="000000" w:themeColor="text1"/>
          <w:lang w:val="en-US"/>
        </w:rPr>
        <w:t>o</w:t>
      </w:r>
      <w:proofErr w:type="spellEnd"/>
      <w:r>
        <w:rPr>
          <w:rStyle w:val="Accentuation"/>
          <w:rFonts w:eastAsiaTheme="majorEastAsia" w:cstheme="minorHAnsi"/>
          <w:i w:val="0"/>
          <w:iCs w:val="0"/>
          <w:color w:val="000000" w:themeColor="text1"/>
          <w:lang w:val="en-US"/>
        </w:rPr>
        <w:t xml:space="preserve"> (n 4)</w:t>
      </w:r>
      <w:r w:rsidRPr="00533D7F">
        <w:rPr>
          <w:rFonts w:cstheme="minorHAnsi"/>
          <w:lang w:val="en-US"/>
        </w:rPr>
        <w:t>, p</w:t>
      </w:r>
      <w:r>
        <w:rPr>
          <w:rFonts w:cstheme="minorHAnsi"/>
          <w:lang w:val="en-US"/>
        </w:rPr>
        <w:t>ara 1</w:t>
      </w:r>
      <w:r w:rsidRPr="00533D7F">
        <w:rPr>
          <w:rFonts w:cstheme="minorHAnsi"/>
          <w:lang w:val="en-US"/>
        </w:rPr>
        <w:t>4.</w:t>
      </w:r>
    </w:p>
  </w:footnote>
  <w:footnote w:id="62">
    <w:p w14:paraId="14EB4568" w14:textId="4E090E4A" w:rsidR="00F938D8" w:rsidRPr="00533D7F" w:rsidRDefault="00F938D8" w:rsidP="007755E0">
      <w:pPr>
        <w:pStyle w:val="Notedebasdepage"/>
        <w:jc w:val="both"/>
        <w:rPr>
          <w:rFonts w:cstheme="minorHAnsi"/>
          <w:i/>
          <w:iCs/>
          <w:lang w:val="en-US"/>
        </w:rPr>
      </w:pPr>
      <w:r w:rsidRPr="00533D7F">
        <w:rPr>
          <w:rStyle w:val="Appelnotedebasdep"/>
          <w:rFonts w:cstheme="minorHAnsi"/>
        </w:rPr>
        <w:footnoteRef/>
      </w:r>
      <w:r w:rsidRPr="00533D7F">
        <w:rPr>
          <w:rFonts w:cstheme="minorHAnsi"/>
          <w:lang w:val="en-US"/>
        </w:rPr>
        <w:t xml:space="preserve"> </w:t>
      </w:r>
      <w:r w:rsidRPr="00215119">
        <w:rPr>
          <w:rFonts w:cstheme="minorHAnsi"/>
          <w:lang w:val="en-US"/>
        </w:rPr>
        <w:t>Ibid.,</w:t>
      </w:r>
      <w:r w:rsidRPr="00533D7F">
        <w:rPr>
          <w:rFonts w:cstheme="minorHAnsi"/>
          <w:i/>
          <w:iCs/>
          <w:lang w:val="en-US"/>
        </w:rPr>
        <w:t xml:space="preserve"> </w:t>
      </w:r>
      <w:r w:rsidRPr="00533D7F">
        <w:rPr>
          <w:rFonts w:cstheme="minorHAnsi"/>
          <w:lang w:val="en-US"/>
        </w:rPr>
        <w:t>p</w:t>
      </w:r>
      <w:r>
        <w:rPr>
          <w:rFonts w:cstheme="minorHAnsi"/>
          <w:lang w:val="en-US"/>
        </w:rPr>
        <w:t>ara 15</w:t>
      </w:r>
      <w:r w:rsidRPr="00533D7F">
        <w:rPr>
          <w:rFonts w:cstheme="minorHAnsi"/>
          <w:lang w:val="en-US"/>
        </w:rPr>
        <w:t>.</w:t>
      </w:r>
    </w:p>
  </w:footnote>
  <w:footnote w:id="63">
    <w:p w14:paraId="4C835FBF" w14:textId="66FCEDC3"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Interview </w:t>
      </w:r>
      <w:r>
        <w:rPr>
          <w:rFonts w:cstheme="minorHAnsi"/>
          <w:lang w:val="en-US"/>
        </w:rPr>
        <w:t xml:space="preserve">with </w:t>
      </w:r>
      <w:r w:rsidRPr="00533D7F">
        <w:rPr>
          <w:rFonts w:cstheme="minorHAnsi"/>
          <w:lang w:val="en-US"/>
        </w:rPr>
        <w:t>Paul Bekaert</w:t>
      </w:r>
      <w:r>
        <w:rPr>
          <w:rFonts w:cstheme="minorHAnsi"/>
          <w:lang w:val="en-US"/>
        </w:rPr>
        <w:t>, Lawyer of N.J.E. (</w:t>
      </w:r>
      <w:proofErr w:type="spellStart"/>
      <w:r>
        <w:rPr>
          <w:rFonts w:cstheme="minorHAnsi"/>
          <w:lang w:val="en-US"/>
        </w:rPr>
        <w:t>Tielt</w:t>
      </w:r>
      <w:proofErr w:type="spellEnd"/>
      <w:r>
        <w:rPr>
          <w:rFonts w:cstheme="minorHAnsi"/>
          <w:lang w:val="en-US"/>
        </w:rPr>
        <w:t>, Belgium, 29 November 2018).</w:t>
      </w:r>
    </w:p>
  </w:footnote>
  <w:footnote w:id="64">
    <w:p w14:paraId="09DDA901" w14:textId="543C80B6"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w:t>
      </w:r>
      <w:r w:rsidRPr="00533D7F">
        <w:rPr>
          <w:rFonts w:cstheme="minorHAnsi"/>
          <w:i/>
          <w:iCs/>
          <w:lang w:val="en-US"/>
        </w:rPr>
        <w:t>Romeo Casta</w:t>
      </w:r>
      <w:r w:rsidRPr="00533D7F">
        <w:rPr>
          <w:rStyle w:val="Accentuation"/>
          <w:rFonts w:cstheme="minorHAnsi"/>
          <w:color w:val="000000" w:themeColor="text1"/>
          <w:lang w:val="en-US"/>
        </w:rPr>
        <w:t>ñ</w:t>
      </w:r>
      <w:r w:rsidRPr="00533D7F">
        <w:rPr>
          <w:rStyle w:val="Accentuation"/>
          <w:rFonts w:eastAsiaTheme="majorEastAsia" w:cstheme="minorHAnsi"/>
          <w:color w:val="000000" w:themeColor="text1"/>
          <w:lang w:val="en-US"/>
        </w:rPr>
        <w:t>o</w:t>
      </w:r>
      <w:r>
        <w:rPr>
          <w:rStyle w:val="Accentuation"/>
          <w:rFonts w:eastAsiaTheme="majorEastAsia" w:cstheme="minorHAnsi"/>
          <w:i w:val="0"/>
          <w:iCs w:val="0"/>
          <w:color w:val="000000" w:themeColor="text1"/>
          <w:lang w:val="en-US"/>
        </w:rPr>
        <w:t xml:space="preserve"> (n 4)</w:t>
      </w:r>
      <w:r w:rsidRPr="00533D7F">
        <w:rPr>
          <w:rFonts w:cstheme="minorHAnsi"/>
          <w:lang w:val="en-US"/>
        </w:rPr>
        <w:t>, p</w:t>
      </w:r>
      <w:r>
        <w:rPr>
          <w:rFonts w:cstheme="minorHAnsi"/>
          <w:lang w:val="en-US"/>
        </w:rPr>
        <w:t>ara 17.</w:t>
      </w:r>
    </w:p>
  </w:footnote>
  <w:footnote w:id="65">
    <w:p w14:paraId="254F86F8" w14:textId="12FB579D"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w:t>
      </w:r>
      <w:r w:rsidRPr="00CA6A02">
        <w:rPr>
          <w:rFonts w:cstheme="minorHAnsi"/>
          <w:lang w:val="en-US"/>
        </w:rPr>
        <w:t>Ibid</w:t>
      </w:r>
      <w:r w:rsidRPr="00533D7F">
        <w:rPr>
          <w:rFonts w:cstheme="minorHAnsi"/>
          <w:i/>
          <w:iCs/>
          <w:lang w:val="en-US"/>
        </w:rPr>
        <w:t>.</w:t>
      </w:r>
      <w:r w:rsidRPr="00533D7F">
        <w:rPr>
          <w:rFonts w:cstheme="minorHAnsi"/>
          <w:lang w:val="en-US"/>
        </w:rPr>
        <w:t>, p</w:t>
      </w:r>
      <w:r>
        <w:rPr>
          <w:rFonts w:cstheme="minorHAnsi"/>
          <w:lang w:val="en-US"/>
        </w:rPr>
        <w:t xml:space="preserve">ara 22. </w:t>
      </w:r>
    </w:p>
  </w:footnote>
  <w:footnote w:id="66">
    <w:p w14:paraId="3101891E" w14:textId="326F4A8E"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w:t>
      </w:r>
      <w:r w:rsidRPr="00CA6A02">
        <w:rPr>
          <w:rFonts w:cstheme="minorHAnsi"/>
          <w:lang w:val="en-US"/>
        </w:rPr>
        <w:t>Ibid</w:t>
      </w:r>
      <w:r w:rsidRPr="00533D7F">
        <w:rPr>
          <w:rFonts w:cstheme="minorHAnsi"/>
          <w:lang w:val="en-US"/>
        </w:rPr>
        <w:t>., p</w:t>
      </w:r>
      <w:r>
        <w:rPr>
          <w:rFonts w:cstheme="minorHAnsi"/>
          <w:lang w:val="en-US"/>
        </w:rPr>
        <w:t>ara 8</w:t>
      </w:r>
      <w:r w:rsidRPr="00533D7F">
        <w:rPr>
          <w:rFonts w:cstheme="minorHAnsi"/>
          <w:lang w:val="en-US"/>
        </w:rPr>
        <w:t>0.</w:t>
      </w:r>
    </w:p>
  </w:footnote>
  <w:footnote w:id="67">
    <w:p w14:paraId="578BBBBF" w14:textId="666CDE24"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w:t>
      </w:r>
      <w:r w:rsidRPr="00CA6A02">
        <w:rPr>
          <w:rFonts w:cstheme="minorHAnsi"/>
          <w:lang w:val="en-US"/>
        </w:rPr>
        <w:t>Ibid</w:t>
      </w:r>
      <w:r w:rsidRPr="00533D7F">
        <w:rPr>
          <w:rFonts w:cstheme="minorHAnsi"/>
          <w:lang w:val="en-US"/>
        </w:rPr>
        <w:t>., p</w:t>
      </w:r>
      <w:r>
        <w:rPr>
          <w:rFonts w:cstheme="minorHAnsi"/>
          <w:lang w:val="en-US"/>
        </w:rPr>
        <w:t>ara 82</w:t>
      </w:r>
      <w:r w:rsidRPr="00533D7F">
        <w:rPr>
          <w:rFonts w:cstheme="minorHAnsi"/>
          <w:lang w:val="en-US"/>
        </w:rPr>
        <w:t>.</w:t>
      </w:r>
    </w:p>
  </w:footnote>
  <w:footnote w:id="68">
    <w:p w14:paraId="00428AC2" w14:textId="668BECC7"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w:t>
      </w:r>
      <w:r w:rsidRPr="00CA6A02">
        <w:rPr>
          <w:rFonts w:cstheme="minorHAnsi"/>
          <w:lang w:val="en-US"/>
        </w:rPr>
        <w:t>Ibid.</w:t>
      </w:r>
      <w:r w:rsidRPr="00533D7F">
        <w:rPr>
          <w:rFonts w:cstheme="minorHAnsi"/>
          <w:lang w:val="en-US"/>
        </w:rPr>
        <w:t xml:space="preserve">, </w:t>
      </w:r>
      <w:r>
        <w:rPr>
          <w:rFonts w:cstheme="minorHAnsi"/>
          <w:lang w:val="en-US"/>
        </w:rPr>
        <w:t>paras 83-88</w:t>
      </w:r>
      <w:r w:rsidRPr="00533D7F">
        <w:rPr>
          <w:rFonts w:cstheme="minorHAnsi"/>
          <w:lang w:val="en-US"/>
        </w:rPr>
        <w:t>.</w:t>
      </w:r>
    </w:p>
  </w:footnote>
  <w:footnote w:id="69">
    <w:p w14:paraId="0CCF2D51" w14:textId="4B9D656F"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w:t>
      </w:r>
      <w:r w:rsidRPr="00CA6A02">
        <w:rPr>
          <w:rFonts w:cstheme="minorHAnsi"/>
          <w:lang w:val="en-US"/>
        </w:rPr>
        <w:t>Ibid</w:t>
      </w:r>
      <w:r w:rsidRPr="00533D7F">
        <w:rPr>
          <w:rFonts w:cstheme="minorHAnsi"/>
          <w:i/>
          <w:iCs/>
          <w:lang w:val="en-US"/>
        </w:rPr>
        <w:t>.</w:t>
      </w:r>
      <w:r w:rsidRPr="00533D7F">
        <w:rPr>
          <w:rFonts w:cstheme="minorHAnsi"/>
          <w:lang w:val="en-US"/>
        </w:rPr>
        <w:t xml:space="preserve">, </w:t>
      </w:r>
      <w:r>
        <w:rPr>
          <w:rFonts w:cstheme="minorHAnsi"/>
          <w:lang w:val="en-US"/>
        </w:rPr>
        <w:t>para 89</w:t>
      </w:r>
      <w:r w:rsidRPr="00533D7F">
        <w:rPr>
          <w:rFonts w:cstheme="minorHAnsi"/>
          <w:lang w:val="en-US"/>
        </w:rPr>
        <w:t>.</w:t>
      </w:r>
    </w:p>
  </w:footnote>
  <w:footnote w:id="70">
    <w:p w14:paraId="6BCCA336" w14:textId="24D373CD" w:rsidR="00F938D8" w:rsidRPr="00F938D8" w:rsidRDefault="00F938D8" w:rsidP="007755E0">
      <w:pPr>
        <w:pStyle w:val="Notedebasdepage"/>
        <w:jc w:val="both"/>
        <w:rPr>
          <w:lang w:val="en-US"/>
        </w:rPr>
      </w:pPr>
      <w:r>
        <w:rPr>
          <w:rStyle w:val="Appelnotedebasdep"/>
        </w:rPr>
        <w:footnoteRef/>
      </w:r>
      <w:r w:rsidRPr="00F938D8">
        <w:rPr>
          <w:lang w:val="en-US"/>
        </w:rPr>
        <w:t xml:space="preserve"> Ibid., paras 40, 81.</w:t>
      </w:r>
    </w:p>
  </w:footnote>
  <w:footnote w:id="71">
    <w:p w14:paraId="7A82D04B" w14:textId="46FFF172"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w:t>
      </w:r>
      <w:r w:rsidRPr="00CA6A02">
        <w:rPr>
          <w:rFonts w:cstheme="minorHAnsi"/>
          <w:lang w:val="en-US"/>
        </w:rPr>
        <w:t>Ibid</w:t>
      </w:r>
      <w:r w:rsidRPr="00533D7F">
        <w:rPr>
          <w:rFonts w:cstheme="minorHAnsi"/>
          <w:i/>
          <w:iCs/>
          <w:lang w:val="en-US"/>
        </w:rPr>
        <w:t>.</w:t>
      </w:r>
      <w:r w:rsidRPr="00533D7F">
        <w:rPr>
          <w:rFonts w:cstheme="minorHAnsi"/>
          <w:lang w:val="en-US"/>
        </w:rPr>
        <w:t>, p</w:t>
      </w:r>
      <w:r>
        <w:rPr>
          <w:rFonts w:cstheme="minorHAnsi"/>
          <w:lang w:val="en-US"/>
        </w:rPr>
        <w:t>ara 91</w:t>
      </w:r>
      <w:r w:rsidRPr="00533D7F">
        <w:rPr>
          <w:rFonts w:cstheme="minorHAnsi"/>
          <w:lang w:val="en-US"/>
        </w:rPr>
        <w:t>.</w:t>
      </w:r>
    </w:p>
  </w:footnote>
  <w:footnote w:id="72">
    <w:p w14:paraId="3AEE3F29" w14:textId="0F113738" w:rsidR="00121A6E" w:rsidRPr="00DD74B2" w:rsidRDefault="00121A6E" w:rsidP="007755E0">
      <w:pPr>
        <w:pStyle w:val="Notedebasdepage"/>
        <w:jc w:val="both"/>
        <w:rPr>
          <w:rFonts w:cstheme="minorHAnsi"/>
          <w:i/>
          <w:iCs/>
          <w:lang w:val="en-US"/>
        </w:rPr>
      </w:pPr>
      <w:r w:rsidRPr="00DD74B2">
        <w:rPr>
          <w:rStyle w:val="Appelnotedebasdep"/>
          <w:rFonts w:cstheme="minorHAnsi"/>
        </w:rPr>
        <w:footnoteRef/>
      </w:r>
      <w:r w:rsidRPr="00DD74B2">
        <w:rPr>
          <w:rFonts w:cstheme="minorHAnsi"/>
          <w:lang w:val="en-US"/>
        </w:rPr>
        <w:t xml:space="preserve"> </w:t>
      </w:r>
      <w:r w:rsidR="00665E9E" w:rsidRPr="00F938D8">
        <w:rPr>
          <w:rFonts w:cstheme="minorHAnsi"/>
          <w:lang w:val="en-US"/>
        </w:rPr>
        <w:t xml:space="preserve">M Zamboni, ‘Romeo </w:t>
      </w:r>
      <w:proofErr w:type="spellStart"/>
      <w:r w:rsidR="00665E9E" w:rsidRPr="00F938D8">
        <w:rPr>
          <w:rFonts w:cstheme="minorHAnsi"/>
          <w:lang w:val="en-US"/>
        </w:rPr>
        <w:t>Castaño</w:t>
      </w:r>
      <w:proofErr w:type="spellEnd"/>
      <w:r w:rsidR="00665E9E" w:rsidRPr="00F938D8">
        <w:rPr>
          <w:rFonts w:cstheme="minorHAnsi"/>
          <w:lang w:val="en-US"/>
        </w:rPr>
        <w:t xml:space="preserve"> v Belgium and the Duty to Cooperate under the ECHR’ (</w:t>
      </w:r>
      <w:r w:rsidR="00665E9E" w:rsidRPr="00F938D8">
        <w:rPr>
          <w:rFonts w:cstheme="minorHAnsi"/>
          <w:i/>
          <w:iCs/>
          <w:lang w:val="en-US"/>
        </w:rPr>
        <w:t xml:space="preserve">EJIL </w:t>
      </w:r>
      <w:proofErr w:type="gramStart"/>
      <w:r w:rsidR="00665E9E" w:rsidRPr="00F938D8">
        <w:rPr>
          <w:rFonts w:cstheme="minorHAnsi"/>
          <w:i/>
          <w:iCs/>
          <w:lang w:val="en-US"/>
        </w:rPr>
        <w:t>Talk!</w:t>
      </w:r>
      <w:r w:rsidR="00665E9E" w:rsidRPr="00F938D8">
        <w:rPr>
          <w:rFonts w:cstheme="minorHAnsi"/>
          <w:lang w:val="en-US"/>
        </w:rPr>
        <w:t>,</w:t>
      </w:r>
      <w:proofErr w:type="gramEnd"/>
      <w:r w:rsidR="00665E9E" w:rsidRPr="00F938D8">
        <w:rPr>
          <w:rFonts w:cstheme="minorHAnsi"/>
          <w:lang w:val="en-US"/>
        </w:rPr>
        <w:t xml:space="preserve"> 19 August 2019)</w:t>
      </w:r>
      <w:r w:rsidR="00665E9E">
        <w:rPr>
          <w:rFonts w:cstheme="minorHAnsi"/>
          <w:lang w:val="en-US"/>
        </w:rPr>
        <w:t xml:space="preserve"> </w:t>
      </w:r>
      <w:r w:rsidR="00665E9E" w:rsidRPr="00F938D8">
        <w:rPr>
          <w:rFonts w:cstheme="minorHAnsi"/>
          <w:lang w:val="en-US"/>
        </w:rPr>
        <w:t>&lt;https://www.ejiltalk.org/romeo-castano-v-belgium-and-the-duty-to-cooperate-under-the-echr/&gt; accessed 8 September 2020.</w:t>
      </w:r>
      <w:r w:rsidRPr="00DD74B2">
        <w:rPr>
          <w:rFonts w:cstheme="minorHAnsi"/>
          <w:lang w:val="en-US"/>
        </w:rPr>
        <w:t xml:space="preserve"> </w:t>
      </w:r>
    </w:p>
  </w:footnote>
  <w:footnote w:id="73">
    <w:p w14:paraId="53AE8446" w14:textId="752C5C0D"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L von </w:t>
      </w:r>
      <w:proofErr w:type="spellStart"/>
      <w:r w:rsidRPr="00533D7F">
        <w:rPr>
          <w:rFonts w:cstheme="minorHAnsi"/>
          <w:lang w:val="en-US"/>
        </w:rPr>
        <w:t>Danwitz</w:t>
      </w:r>
      <w:proofErr w:type="spellEnd"/>
      <w:r w:rsidRPr="00533D7F">
        <w:rPr>
          <w:rFonts w:cstheme="minorHAnsi"/>
          <w:lang w:val="en-US"/>
        </w:rPr>
        <w:t xml:space="preserve">, </w:t>
      </w:r>
      <w:r>
        <w:rPr>
          <w:rFonts w:cstheme="minorHAnsi"/>
          <w:lang w:val="en-US"/>
        </w:rPr>
        <w:t>‘</w:t>
      </w:r>
      <w:r w:rsidRPr="00533D7F">
        <w:rPr>
          <w:rFonts w:cstheme="minorHAnsi"/>
          <w:lang w:val="en-US"/>
        </w:rPr>
        <w:t>In rights we trust</w:t>
      </w:r>
      <w:r>
        <w:rPr>
          <w:rFonts w:cstheme="minorHAnsi"/>
          <w:lang w:val="en-US"/>
        </w:rPr>
        <w:t>’</w:t>
      </w:r>
      <w:r w:rsidRPr="00533D7F">
        <w:rPr>
          <w:rFonts w:cstheme="minorHAnsi"/>
          <w:lang w:val="en-US"/>
        </w:rPr>
        <w:t xml:space="preserve"> </w:t>
      </w:r>
      <w:r>
        <w:rPr>
          <w:rFonts w:cstheme="minorHAnsi"/>
          <w:lang w:val="en-US"/>
        </w:rPr>
        <w:t>(</w:t>
      </w:r>
      <w:proofErr w:type="spellStart"/>
      <w:r w:rsidRPr="00533D7F">
        <w:rPr>
          <w:rFonts w:cstheme="minorHAnsi"/>
          <w:i/>
          <w:iCs/>
          <w:lang w:val="en-US"/>
        </w:rPr>
        <w:t>Verfassungsblog</w:t>
      </w:r>
      <w:proofErr w:type="spellEnd"/>
      <w:r w:rsidRPr="00533D7F">
        <w:rPr>
          <w:rFonts w:cstheme="minorHAnsi"/>
          <w:lang w:val="en-US"/>
        </w:rPr>
        <w:t>, 21</w:t>
      </w:r>
      <w:r>
        <w:rPr>
          <w:rFonts w:cstheme="minorHAnsi"/>
          <w:lang w:val="en-US"/>
        </w:rPr>
        <w:t xml:space="preserve"> August </w:t>
      </w:r>
      <w:r w:rsidRPr="00533D7F">
        <w:rPr>
          <w:rFonts w:cstheme="minorHAnsi"/>
          <w:lang w:val="en-US"/>
        </w:rPr>
        <w:t>2019</w:t>
      </w:r>
      <w:r>
        <w:rPr>
          <w:rFonts w:cstheme="minorHAnsi"/>
          <w:lang w:val="en-US"/>
        </w:rPr>
        <w:t>)</w:t>
      </w:r>
      <w:r w:rsidRPr="00533D7F">
        <w:rPr>
          <w:rFonts w:cstheme="minorHAnsi"/>
          <w:lang w:val="en-US"/>
        </w:rPr>
        <w:t xml:space="preserve"> &lt;https://verfassungsblog.de/in-rights-we-trust/&gt; </w:t>
      </w:r>
      <w:r>
        <w:rPr>
          <w:rFonts w:cstheme="minorHAnsi"/>
          <w:lang w:val="en-US"/>
        </w:rPr>
        <w:t>a</w:t>
      </w:r>
      <w:r w:rsidRPr="00533D7F">
        <w:rPr>
          <w:rFonts w:cstheme="minorHAnsi"/>
          <w:lang w:val="en-US"/>
        </w:rPr>
        <w:t>ccessed on 7 September 2020.</w:t>
      </w:r>
    </w:p>
  </w:footnote>
  <w:footnote w:id="74">
    <w:p w14:paraId="491F656A" w14:textId="3518A7AE" w:rsidR="00F938D8" w:rsidRPr="00533D7F" w:rsidRDefault="00F938D8" w:rsidP="007755E0">
      <w:pPr>
        <w:pStyle w:val="Notedebasdepage"/>
        <w:jc w:val="both"/>
        <w:rPr>
          <w:rFonts w:cstheme="minorHAnsi"/>
          <w:i/>
          <w:iCs/>
          <w:lang w:val="en-US"/>
        </w:rPr>
      </w:pPr>
      <w:r w:rsidRPr="00533D7F">
        <w:rPr>
          <w:rStyle w:val="Appelnotedebasdep"/>
          <w:rFonts w:cstheme="minorHAnsi"/>
        </w:rPr>
        <w:footnoteRef/>
      </w:r>
      <w:r w:rsidRPr="00533D7F">
        <w:rPr>
          <w:rFonts w:cstheme="minorHAnsi"/>
          <w:lang w:val="en-US"/>
        </w:rPr>
        <w:t xml:space="preserve"> </w:t>
      </w:r>
      <w:r w:rsidRPr="00400294">
        <w:rPr>
          <w:rFonts w:cstheme="minorHAnsi"/>
          <w:lang w:val="en-US"/>
        </w:rPr>
        <w:t>Ibid.</w:t>
      </w:r>
      <w:r w:rsidRPr="00533D7F">
        <w:rPr>
          <w:rFonts w:cstheme="minorHAnsi"/>
          <w:i/>
          <w:iCs/>
          <w:lang w:val="en-US"/>
        </w:rPr>
        <w:t xml:space="preserve"> </w:t>
      </w:r>
    </w:p>
  </w:footnote>
  <w:footnote w:id="75">
    <w:p w14:paraId="1517276C" w14:textId="30229A30"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w:t>
      </w:r>
      <w:r w:rsidRPr="00A3683B">
        <w:rPr>
          <w:rFonts w:cstheme="minorHAnsi"/>
          <w:i/>
          <w:iCs/>
          <w:lang w:val="en-US"/>
        </w:rPr>
        <w:t>Romeo Casta</w:t>
      </w:r>
      <w:r w:rsidRPr="00A3683B">
        <w:rPr>
          <w:rStyle w:val="Accentuation"/>
          <w:rFonts w:cstheme="minorHAnsi"/>
          <w:color w:val="000000" w:themeColor="text1"/>
          <w:lang w:val="en-US"/>
        </w:rPr>
        <w:t>ñ</w:t>
      </w:r>
      <w:r w:rsidRPr="00A3683B">
        <w:rPr>
          <w:rStyle w:val="Accentuation"/>
          <w:rFonts w:eastAsiaTheme="majorEastAsia" w:cstheme="minorHAnsi"/>
          <w:color w:val="000000" w:themeColor="text1"/>
          <w:lang w:val="en-US"/>
        </w:rPr>
        <w:t>o</w:t>
      </w:r>
      <w:r>
        <w:rPr>
          <w:rStyle w:val="Accentuation"/>
          <w:rFonts w:eastAsiaTheme="majorEastAsia" w:cstheme="minorHAnsi"/>
          <w:i w:val="0"/>
          <w:iCs w:val="0"/>
          <w:color w:val="000000" w:themeColor="text1"/>
          <w:lang w:val="en-US"/>
        </w:rPr>
        <w:t xml:space="preserve"> (n 4)</w:t>
      </w:r>
      <w:r w:rsidRPr="00533D7F">
        <w:rPr>
          <w:rFonts w:cstheme="minorHAnsi"/>
          <w:lang w:val="en-US"/>
        </w:rPr>
        <w:t xml:space="preserve"> </w:t>
      </w:r>
      <w:r>
        <w:rPr>
          <w:rFonts w:cstheme="minorHAnsi"/>
          <w:lang w:val="en-US"/>
        </w:rPr>
        <w:t>para 92</w:t>
      </w:r>
      <w:r w:rsidRPr="00533D7F">
        <w:rPr>
          <w:rFonts w:cstheme="minorHAnsi"/>
          <w:lang w:val="en-US"/>
        </w:rPr>
        <w:t>.</w:t>
      </w:r>
    </w:p>
  </w:footnote>
  <w:footnote w:id="76">
    <w:p w14:paraId="02C793AD" w14:textId="431E4405" w:rsidR="00F938D8" w:rsidRPr="00AB30E5" w:rsidRDefault="00F938D8" w:rsidP="007755E0">
      <w:pPr>
        <w:jc w:val="both"/>
        <w:rPr>
          <w:rFonts w:asciiTheme="minorHAnsi" w:hAnsiTheme="minorHAnsi" w:cstheme="minorHAnsi"/>
          <w:color w:val="000000" w:themeColor="text1"/>
          <w:sz w:val="20"/>
          <w:szCs w:val="20"/>
          <w:lang w:val="en-US"/>
        </w:rPr>
      </w:pPr>
      <w:r w:rsidRPr="00AB30E5">
        <w:rPr>
          <w:rStyle w:val="Appelnotedebasdep"/>
          <w:rFonts w:asciiTheme="minorHAnsi" w:hAnsiTheme="minorHAnsi" w:cstheme="minorHAnsi"/>
          <w:color w:val="000000" w:themeColor="text1"/>
          <w:sz w:val="20"/>
          <w:szCs w:val="20"/>
        </w:rPr>
        <w:footnoteRef/>
      </w:r>
      <w:r w:rsidRPr="00AB30E5">
        <w:rPr>
          <w:rFonts w:asciiTheme="minorHAnsi" w:hAnsiTheme="minorHAnsi" w:cstheme="minorHAnsi"/>
          <w:color w:val="000000" w:themeColor="text1"/>
          <w:sz w:val="20"/>
          <w:szCs w:val="20"/>
          <w:lang w:val="en-US"/>
        </w:rPr>
        <w:t xml:space="preserve"> I Wieczorek, ‘The Implication of Radu at a national level: national courts’ diversified response to conflicting obligations’ in </w:t>
      </w:r>
      <w:r w:rsidRPr="00AB30E5">
        <w:rPr>
          <w:rFonts w:asciiTheme="minorHAnsi" w:hAnsiTheme="minorHAnsi" w:cstheme="minorHAnsi"/>
          <w:color w:val="000000" w:themeColor="text1"/>
          <w:sz w:val="20"/>
          <w:szCs w:val="20"/>
          <w:shd w:val="clear" w:color="auto" w:fill="FFFFFF"/>
          <w:lang w:val="en-US"/>
        </w:rPr>
        <w:t xml:space="preserve">V </w:t>
      </w:r>
      <w:proofErr w:type="spellStart"/>
      <w:r w:rsidRPr="00AB30E5">
        <w:rPr>
          <w:rFonts w:asciiTheme="minorHAnsi" w:hAnsiTheme="minorHAnsi" w:cstheme="minorHAnsi"/>
          <w:color w:val="000000" w:themeColor="text1"/>
          <w:sz w:val="20"/>
          <w:szCs w:val="20"/>
          <w:shd w:val="clear" w:color="auto" w:fill="FFFFFF"/>
          <w:lang w:val="en-US"/>
        </w:rPr>
        <w:t>Mitsilegas</w:t>
      </w:r>
      <w:proofErr w:type="spellEnd"/>
      <w:r w:rsidRPr="00AB30E5">
        <w:rPr>
          <w:rFonts w:asciiTheme="minorHAnsi" w:hAnsiTheme="minorHAnsi" w:cstheme="minorHAnsi"/>
          <w:color w:val="000000" w:themeColor="text1"/>
          <w:sz w:val="20"/>
          <w:szCs w:val="20"/>
          <w:shd w:val="clear" w:color="auto" w:fill="FFFFFF"/>
          <w:lang w:val="en-US"/>
        </w:rPr>
        <w:t xml:space="preserve">, A di Martino, L </w:t>
      </w:r>
      <w:proofErr w:type="spellStart"/>
      <w:r w:rsidRPr="00AB30E5">
        <w:rPr>
          <w:rFonts w:asciiTheme="minorHAnsi" w:hAnsiTheme="minorHAnsi" w:cstheme="minorHAnsi"/>
          <w:color w:val="000000" w:themeColor="text1"/>
          <w:sz w:val="20"/>
          <w:szCs w:val="20"/>
          <w:shd w:val="clear" w:color="auto" w:fill="FFFFFF"/>
          <w:lang w:val="en-US"/>
        </w:rPr>
        <w:t>Mancano</w:t>
      </w:r>
      <w:proofErr w:type="spellEnd"/>
      <w:r w:rsidRPr="00AB30E5">
        <w:rPr>
          <w:rFonts w:asciiTheme="minorHAnsi" w:hAnsiTheme="minorHAnsi" w:cstheme="minorHAnsi"/>
          <w:color w:val="000000" w:themeColor="text1"/>
          <w:sz w:val="20"/>
          <w:szCs w:val="20"/>
          <w:lang w:val="en-US"/>
        </w:rPr>
        <w:t xml:space="preserve">, </w:t>
      </w:r>
      <w:r w:rsidRPr="00AB30E5">
        <w:rPr>
          <w:rFonts w:asciiTheme="minorHAnsi" w:hAnsiTheme="minorHAnsi" w:cstheme="minorHAnsi"/>
          <w:i/>
          <w:iCs/>
          <w:color w:val="000000" w:themeColor="text1"/>
          <w:sz w:val="20"/>
          <w:szCs w:val="20"/>
          <w:lang w:val="en-US"/>
        </w:rPr>
        <w:t xml:space="preserve">The European Court of Justice and European Criminal Law. Leading Cases </w:t>
      </w:r>
      <w:r w:rsidRPr="00387135">
        <w:rPr>
          <w:rFonts w:asciiTheme="minorHAnsi" w:hAnsiTheme="minorHAnsi" w:cstheme="minorHAnsi"/>
          <w:i/>
          <w:iCs/>
          <w:color w:val="000000" w:themeColor="text1"/>
          <w:sz w:val="20"/>
          <w:szCs w:val="20"/>
          <w:lang w:val="en-US"/>
        </w:rPr>
        <w:t>in</w:t>
      </w:r>
      <w:r w:rsidRPr="00AB30E5">
        <w:rPr>
          <w:rFonts w:asciiTheme="minorHAnsi" w:hAnsiTheme="minorHAnsi" w:cstheme="minorHAnsi"/>
          <w:i/>
          <w:iCs/>
          <w:color w:val="000000" w:themeColor="text1"/>
          <w:sz w:val="20"/>
          <w:szCs w:val="20"/>
          <w:lang w:val="en-US"/>
        </w:rPr>
        <w:t xml:space="preserve"> a Contextual Analysis</w:t>
      </w:r>
      <w:r w:rsidRPr="00AB30E5">
        <w:rPr>
          <w:rFonts w:asciiTheme="minorHAnsi" w:hAnsiTheme="minorHAnsi" w:cstheme="minorHAnsi"/>
          <w:color w:val="000000" w:themeColor="text1"/>
          <w:sz w:val="20"/>
          <w:szCs w:val="20"/>
          <w:lang w:val="en-US"/>
        </w:rPr>
        <w:t xml:space="preserve"> (Hart Publishing, 2019) </w:t>
      </w:r>
      <w:r w:rsidR="00876D31">
        <w:rPr>
          <w:rFonts w:asciiTheme="minorHAnsi" w:hAnsiTheme="minorHAnsi" w:cstheme="minorHAnsi"/>
          <w:color w:val="000000" w:themeColor="text1"/>
          <w:sz w:val="20"/>
          <w:szCs w:val="20"/>
          <w:lang w:val="en-US"/>
        </w:rPr>
        <w:t xml:space="preserve">380, </w:t>
      </w:r>
      <w:r w:rsidRPr="00AB30E5">
        <w:rPr>
          <w:rFonts w:asciiTheme="minorHAnsi" w:hAnsiTheme="minorHAnsi" w:cstheme="minorHAnsi"/>
          <w:color w:val="000000" w:themeColor="text1"/>
          <w:sz w:val="20"/>
          <w:szCs w:val="20"/>
          <w:lang w:val="en-US"/>
        </w:rPr>
        <w:t>380</w:t>
      </w:r>
      <w:r>
        <w:rPr>
          <w:rFonts w:asciiTheme="minorHAnsi" w:hAnsiTheme="minorHAnsi" w:cstheme="minorHAnsi"/>
          <w:color w:val="000000" w:themeColor="text1"/>
          <w:sz w:val="20"/>
          <w:szCs w:val="20"/>
          <w:lang w:val="en-US"/>
        </w:rPr>
        <w:t>-381</w:t>
      </w:r>
      <w:r w:rsidRPr="00AB30E5">
        <w:rPr>
          <w:rFonts w:asciiTheme="minorHAnsi" w:hAnsiTheme="minorHAnsi" w:cstheme="minorHAnsi"/>
          <w:color w:val="000000" w:themeColor="text1"/>
          <w:sz w:val="20"/>
          <w:szCs w:val="20"/>
          <w:lang w:val="en-US"/>
        </w:rPr>
        <w:t>.</w:t>
      </w:r>
    </w:p>
  </w:footnote>
  <w:footnote w:id="77">
    <w:p w14:paraId="2C5E14E3" w14:textId="072F5775" w:rsidR="00F938D8" w:rsidRPr="00F938D8" w:rsidRDefault="00F938D8" w:rsidP="007755E0">
      <w:pPr>
        <w:pStyle w:val="Notedebasdepage"/>
        <w:jc w:val="both"/>
        <w:rPr>
          <w:lang w:val="en-US"/>
        </w:rPr>
      </w:pPr>
      <w:r w:rsidRPr="00653EEE">
        <w:rPr>
          <w:rStyle w:val="Appelnotedebasdep"/>
        </w:rPr>
        <w:footnoteRef/>
      </w:r>
      <w:r w:rsidRPr="00653EEE">
        <w:rPr>
          <w:lang w:val="en-US"/>
        </w:rPr>
        <w:t xml:space="preserve"> Ibid.</w:t>
      </w:r>
    </w:p>
  </w:footnote>
  <w:footnote w:id="78">
    <w:p w14:paraId="528C0D06" w14:textId="60C4BAC1" w:rsidR="00F938D8" w:rsidRPr="00387135" w:rsidRDefault="00F938D8" w:rsidP="007755E0">
      <w:pPr>
        <w:jc w:val="both"/>
        <w:rPr>
          <w:rFonts w:asciiTheme="minorHAnsi" w:hAnsiTheme="minorHAnsi" w:cstheme="minorHAnsi"/>
          <w:color w:val="000000" w:themeColor="text1"/>
          <w:sz w:val="20"/>
          <w:szCs w:val="20"/>
          <w:lang w:val="en-US"/>
        </w:rPr>
      </w:pPr>
      <w:r w:rsidRPr="00387135">
        <w:rPr>
          <w:rStyle w:val="Appelnotedebasdep"/>
          <w:rFonts w:asciiTheme="minorHAnsi" w:hAnsiTheme="minorHAnsi" w:cstheme="minorHAnsi"/>
          <w:color w:val="000000" w:themeColor="text1"/>
          <w:sz w:val="20"/>
          <w:szCs w:val="20"/>
        </w:rPr>
        <w:footnoteRef/>
      </w:r>
      <w:r w:rsidRPr="00387135">
        <w:rPr>
          <w:rFonts w:asciiTheme="minorHAnsi" w:hAnsiTheme="minorHAnsi" w:cstheme="minorHAnsi"/>
          <w:color w:val="000000" w:themeColor="text1"/>
          <w:sz w:val="20"/>
          <w:szCs w:val="20"/>
          <w:lang w:val="en-US"/>
        </w:rPr>
        <w:t xml:space="preserve"> This was most </w:t>
      </w:r>
      <w:r>
        <w:rPr>
          <w:rFonts w:asciiTheme="minorHAnsi" w:hAnsiTheme="minorHAnsi" w:cstheme="minorHAnsi"/>
          <w:color w:val="000000" w:themeColor="text1"/>
          <w:sz w:val="20"/>
          <w:szCs w:val="20"/>
          <w:lang w:val="en-US"/>
        </w:rPr>
        <w:t xml:space="preserve">famously </w:t>
      </w:r>
      <w:r w:rsidRPr="00387135">
        <w:rPr>
          <w:rFonts w:asciiTheme="minorHAnsi" w:hAnsiTheme="minorHAnsi" w:cstheme="minorHAnsi"/>
          <w:color w:val="000000" w:themeColor="text1"/>
          <w:sz w:val="20"/>
          <w:szCs w:val="20"/>
          <w:lang w:val="en-US"/>
        </w:rPr>
        <w:t xml:space="preserve">visible in </w:t>
      </w:r>
      <w:r w:rsidRPr="00387135">
        <w:rPr>
          <w:rFonts w:asciiTheme="minorHAnsi" w:hAnsiTheme="minorHAnsi" w:cstheme="minorHAnsi"/>
          <w:color w:val="000000" w:themeColor="text1"/>
          <w:sz w:val="20"/>
          <w:szCs w:val="20"/>
          <w:shd w:val="clear" w:color="auto" w:fill="FFFFFF"/>
          <w:lang w:val="en-US"/>
        </w:rPr>
        <w:t>C</w:t>
      </w:r>
      <w:proofErr w:type="spellStart"/>
      <w:r w:rsidRPr="00387135">
        <w:rPr>
          <w:rFonts w:asciiTheme="minorHAnsi" w:hAnsiTheme="minorHAnsi" w:cstheme="minorHAnsi"/>
          <w:color w:val="000000" w:themeColor="text1"/>
          <w:sz w:val="20"/>
          <w:szCs w:val="20"/>
          <w:shd w:val="clear" w:color="auto" w:fill="FFFFFF"/>
          <w:lang w:val="en-GB"/>
        </w:rPr>
        <w:t>ase</w:t>
      </w:r>
      <w:proofErr w:type="spellEnd"/>
      <w:r w:rsidRPr="00387135">
        <w:rPr>
          <w:rFonts w:asciiTheme="minorHAnsi" w:hAnsiTheme="minorHAnsi" w:cstheme="minorHAnsi"/>
          <w:color w:val="000000" w:themeColor="text1"/>
          <w:sz w:val="20"/>
          <w:szCs w:val="20"/>
          <w:shd w:val="clear" w:color="auto" w:fill="FFFFFF"/>
          <w:lang w:val="en-GB"/>
        </w:rPr>
        <w:t xml:space="preserve"> C-241/15 </w:t>
      </w:r>
      <w:proofErr w:type="spellStart"/>
      <w:r w:rsidRPr="00387135">
        <w:rPr>
          <w:rFonts w:asciiTheme="minorHAnsi" w:hAnsiTheme="minorHAnsi" w:cstheme="minorHAnsi"/>
          <w:color w:val="000000" w:themeColor="text1"/>
          <w:sz w:val="20"/>
          <w:szCs w:val="20"/>
          <w:shd w:val="clear" w:color="auto" w:fill="FFFFFF"/>
          <w:lang w:val="en-GB"/>
        </w:rPr>
        <w:t>Niculaie</w:t>
      </w:r>
      <w:proofErr w:type="spellEnd"/>
      <w:r w:rsidRPr="00387135">
        <w:rPr>
          <w:rFonts w:asciiTheme="minorHAnsi" w:hAnsiTheme="minorHAnsi" w:cstheme="minorHAnsi"/>
          <w:color w:val="000000" w:themeColor="text1"/>
          <w:sz w:val="20"/>
          <w:szCs w:val="20"/>
          <w:shd w:val="clear" w:color="auto" w:fill="FFFFFF"/>
          <w:lang w:val="en-GB"/>
        </w:rPr>
        <w:t xml:space="preserve"> </w:t>
      </w:r>
      <w:proofErr w:type="spellStart"/>
      <w:r w:rsidRPr="00387135">
        <w:rPr>
          <w:rFonts w:asciiTheme="minorHAnsi" w:hAnsiTheme="minorHAnsi" w:cstheme="minorHAnsi"/>
          <w:color w:val="000000" w:themeColor="text1"/>
          <w:sz w:val="20"/>
          <w:szCs w:val="20"/>
          <w:shd w:val="clear" w:color="auto" w:fill="FFFFFF"/>
          <w:lang w:val="en-GB"/>
        </w:rPr>
        <w:t>Aurel</w:t>
      </w:r>
      <w:proofErr w:type="spellEnd"/>
      <w:r w:rsidRPr="00387135">
        <w:rPr>
          <w:rFonts w:asciiTheme="minorHAnsi" w:hAnsiTheme="minorHAnsi" w:cstheme="minorHAnsi"/>
          <w:color w:val="000000" w:themeColor="text1"/>
          <w:sz w:val="20"/>
          <w:szCs w:val="20"/>
          <w:shd w:val="clear" w:color="auto" w:fill="FFFFFF"/>
          <w:lang w:val="en-GB"/>
        </w:rPr>
        <w:t xml:space="preserve"> Bob-</w:t>
      </w:r>
      <w:proofErr w:type="spellStart"/>
      <w:r w:rsidRPr="00387135">
        <w:rPr>
          <w:rFonts w:asciiTheme="minorHAnsi" w:hAnsiTheme="minorHAnsi" w:cstheme="minorHAnsi"/>
          <w:color w:val="000000" w:themeColor="text1"/>
          <w:sz w:val="20"/>
          <w:szCs w:val="20"/>
          <w:shd w:val="clear" w:color="auto" w:fill="FFFFFF"/>
          <w:lang w:val="en-GB"/>
        </w:rPr>
        <w:t>Dogi</w:t>
      </w:r>
      <w:proofErr w:type="spellEnd"/>
      <w:r w:rsidRPr="00387135">
        <w:rPr>
          <w:rFonts w:asciiTheme="minorHAnsi" w:hAnsiTheme="minorHAnsi" w:cstheme="minorHAnsi"/>
          <w:color w:val="000000" w:themeColor="text1"/>
          <w:sz w:val="20"/>
          <w:szCs w:val="20"/>
          <w:shd w:val="clear" w:color="auto" w:fill="FFFFFF"/>
          <w:lang w:val="en-GB"/>
        </w:rPr>
        <w:t xml:space="preserve"> </w:t>
      </w:r>
      <w:r w:rsidRPr="00387135">
        <w:rPr>
          <w:rFonts w:asciiTheme="minorHAnsi" w:hAnsiTheme="minorHAnsi" w:cstheme="minorHAnsi"/>
          <w:color w:val="000000" w:themeColor="text1"/>
          <w:sz w:val="20"/>
          <w:szCs w:val="20"/>
          <w:lang w:val="en-GB"/>
        </w:rPr>
        <w:t xml:space="preserve">[2016] </w:t>
      </w:r>
      <w:r w:rsidRPr="00387135">
        <w:rPr>
          <w:rFonts w:asciiTheme="minorHAnsi" w:hAnsiTheme="minorHAnsi" w:cstheme="minorHAnsi"/>
          <w:color w:val="000000" w:themeColor="text1"/>
          <w:sz w:val="20"/>
          <w:szCs w:val="20"/>
          <w:lang w:val="en-US"/>
        </w:rPr>
        <w:t xml:space="preserve">ECR – General; </w:t>
      </w:r>
      <w:r w:rsidRPr="00387135">
        <w:rPr>
          <w:rFonts w:asciiTheme="minorHAnsi" w:hAnsiTheme="minorHAnsi" w:cstheme="minorHAnsi"/>
          <w:color w:val="000000" w:themeColor="text1"/>
          <w:sz w:val="20"/>
          <w:szCs w:val="20"/>
          <w:lang w:val="en-GB"/>
        </w:rPr>
        <w:t xml:space="preserve">Joined cases </w:t>
      </w:r>
      <w:r w:rsidRPr="00387135">
        <w:rPr>
          <w:rStyle w:val="Lienhypertexte"/>
          <w:rFonts w:asciiTheme="minorHAnsi" w:hAnsiTheme="minorHAnsi" w:cstheme="minorHAnsi"/>
          <w:bCs/>
          <w:color w:val="000000" w:themeColor="text1"/>
          <w:sz w:val="20"/>
          <w:szCs w:val="20"/>
          <w:u w:val="none"/>
          <w:lang w:val="en-GB"/>
        </w:rPr>
        <w:t>C-404/15</w:t>
      </w:r>
      <w:r w:rsidRPr="00387135">
        <w:rPr>
          <w:rFonts w:asciiTheme="minorHAnsi" w:hAnsiTheme="minorHAnsi" w:cstheme="minorHAnsi"/>
          <w:color w:val="000000" w:themeColor="text1"/>
          <w:sz w:val="20"/>
          <w:szCs w:val="20"/>
          <w:lang w:val="en-US"/>
        </w:rPr>
        <w:t> </w:t>
      </w:r>
      <w:r w:rsidRPr="00387135">
        <w:rPr>
          <w:rFonts w:asciiTheme="minorHAnsi" w:hAnsiTheme="minorHAnsi" w:cstheme="minorHAnsi"/>
          <w:bCs/>
          <w:color w:val="000000" w:themeColor="text1"/>
          <w:sz w:val="20"/>
          <w:szCs w:val="20"/>
          <w:shd w:val="clear" w:color="auto" w:fill="FFFFFF"/>
          <w:lang w:val="en-GB"/>
        </w:rPr>
        <w:t xml:space="preserve">and C-659/15 PPU </w:t>
      </w:r>
      <w:proofErr w:type="spellStart"/>
      <w:r w:rsidRPr="00387135">
        <w:rPr>
          <w:rFonts w:asciiTheme="minorHAnsi" w:hAnsiTheme="minorHAnsi" w:cstheme="minorHAnsi"/>
          <w:bCs/>
          <w:color w:val="000000" w:themeColor="text1"/>
          <w:sz w:val="20"/>
          <w:szCs w:val="20"/>
          <w:shd w:val="clear" w:color="auto" w:fill="FFFFFF"/>
          <w:lang w:val="en-GB"/>
        </w:rPr>
        <w:t>Pál</w:t>
      </w:r>
      <w:proofErr w:type="spellEnd"/>
      <w:r w:rsidRPr="00387135">
        <w:rPr>
          <w:rFonts w:asciiTheme="minorHAnsi" w:hAnsiTheme="minorHAnsi" w:cstheme="minorHAnsi"/>
          <w:bCs/>
          <w:color w:val="000000" w:themeColor="text1"/>
          <w:sz w:val="20"/>
          <w:szCs w:val="20"/>
          <w:shd w:val="clear" w:color="auto" w:fill="FFFFFF"/>
          <w:lang w:val="en-GB"/>
        </w:rPr>
        <w:t xml:space="preserve"> </w:t>
      </w:r>
      <w:proofErr w:type="spellStart"/>
      <w:r w:rsidRPr="00387135">
        <w:rPr>
          <w:rFonts w:asciiTheme="minorHAnsi" w:hAnsiTheme="minorHAnsi" w:cstheme="minorHAnsi"/>
          <w:bCs/>
          <w:color w:val="000000" w:themeColor="text1"/>
          <w:sz w:val="20"/>
          <w:szCs w:val="20"/>
          <w:shd w:val="clear" w:color="auto" w:fill="FFFFFF"/>
          <w:lang w:val="en-GB"/>
        </w:rPr>
        <w:t>Aranyosi</w:t>
      </w:r>
      <w:proofErr w:type="spellEnd"/>
      <w:r w:rsidRPr="00387135">
        <w:rPr>
          <w:rFonts w:asciiTheme="minorHAnsi" w:hAnsiTheme="minorHAnsi" w:cstheme="minorHAnsi"/>
          <w:bCs/>
          <w:color w:val="000000" w:themeColor="text1"/>
          <w:sz w:val="20"/>
          <w:szCs w:val="20"/>
          <w:shd w:val="clear" w:color="auto" w:fill="FFFFFF"/>
          <w:lang w:val="en-GB"/>
        </w:rPr>
        <w:t xml:space="preserve"> </w:t>
      </w:r>
      <w:r>
        <w:rPr>
          <w:rFonts w:asciiTheme="minorHAnsi" w:hAnsiTheme="minorHAnsi" w:cstheme="minorHAnsi"/>
          <w:bCs/>
          <w:color w:val="000000" w:themeColor="text1"/>
          <w:sz w:val="20"/>
          <w:szCs w:val="20"/>
          <w:shd w:val="clear" w:color="auto" w:fill="FFFFFF"/>
          <w:lang w:val="en-GB"/>
        </w:rPr>
        <w:t>and</w:t>
      </w:r>
      <w:r w:rsidRPr="00387135">
        <w:rPr>
          <w:rFonts w:asciiTheme="minorHAnsi" w:hAnsiTheme="minorHAnsi" w:cstheme="minorHAnsi"/>
          <w:bCs/>
          <w:color w:val="000000" w:themeColor="text1"/>
          <w:sz w:val="20"/>
          <w:szCs w:val="20"/>
          <w:shd w:val="clear" w:color="auto" w:fill="FFFFFF"/>
          <w:lang w:val="en-GB"/>
        </w:rPr>
        <w:t xml:space="preserve"> Robert </w:t>
      </w:r>
      <w:proofErr w:type="spellStart"/>
      <w:r w:rsidRPr="00387135">
        <w:rPr>
          <w:rFonts w:asciiTheme="minorHAnsi" w:hAnsiTheme="minorHAnsi" w:cstheme="minorHAnsi"/>
          <w:bCs/>
          <w:color w:val="000000" w:themeColor="text1"/>
          <w:sz w:val="20"/>
          <w:szCs w:val="20"/>
          <w:shd w:val="clear" w:color="auto" w:fill="FFFFFF"/>
          <w:lang w:val="en-GB"/>
        </w:rPr>
        <w:t>Căldăraru</w:t>
      </w:r>
      <w:proofErr w:type="spellEnd"/>
      <w:r w:rsidRPr="00387135">
        <w:rPr>
          <w:rFonts w:asciiTheme="minorHAnsi" w:hAnsiTheme="minorHAnsi" w:cstheme="minorHAnsi"/>
          <w:bCs/>
          <w:color w:val="000000" w:themeColor="text1"/>
          <w:sz w:val="20"/>
          <w:szCs w:val="20"/>
          <w:shd w:val="clear" w:color="auto" w:fill="FFFFFF"/>
          <w:lang w:val="en-GB"/>
        </w:rPr>
        <w:t xml:space="preserve"> [2016] ECR – General, </w:t>
      </w:r>
      <w:r w:rsidRPr="00387135">
        <w:rPr>
          <w:rFonts w:asciiTheme="minorHAnsi" w:hAnsiTheme="minorHAnsi" w:cstheme="minorHAnsi"/>
          <w:color w:val="000000" w:themeColor="text1"/>
          <w:sz w:val="20"/>
          <w:szCs w:val="20"/>
          <w:shd w:val="clear" w:color="auto" w:fill="FFFFFF"/>
          <w:lang w:val="en-US"/>
        </w:rPr>
        <w:t xml:space="preserve">Case </w:t>
      </w:r>
      <w:r w:rsidRPr="00387135">
        <w:rPr>
          <w:rFonts w:asciiTheme="minorHAnsi" w:hAnsiTheme="minorHAnsi" w:cstheme="minorHAnsi"/>
          <w:color w:val="000000" w:themeColor="text1"/>
          <w:sz w:val="20"/>
          <w:szCs w:val="20"/>
          <w:lang w:val="en-US"/>
        </w:rPr>
        <w:t>C</w:t>
      </w:r>
      <w:r w:rsidRPr="00387135">
        <w:rPr>
          <w:rFonts w:asciiTheme="minorHAnsi" w:hAnsiTheme="minorHAnsi" w:cstheme="minorHAnsi"/>
          <w:color w:val="000000" w:themeColor="text1"/>
          <w:sz w:val="20"/>
          <w:szCs w:val="20"/>
          <w:lang w:val="en-US"/>
        </w:rPr>
        <w:noBreakHyphen/>
        <w:t>216/18 PPU LM [2018] ECR – General.</w:t>
      </w:r>
    </w:p>
  </w:footnote>
  <w:footnote w:id="79">
    <w:p w14:paraId="1B242ED5" w14:textId="1CD04090" w:rsidR="00F938D8" w:rsidRPr="00F938D8" w:rsidRDefault="00F938D8" w:rsidP="007755E0">
      <w:pPr>
        <w:pStyle w:val="Notedebasdepage"/>
        <w:jc w:val="both"/>
        <w:rPr>
          <w:rFonts w:cstheme="minorHAnsi"/>
          <w:color w:val="000000" w:themeColor="text1"/>
          <w:lang w:val="en-US"/>
        </w:rPr>
      </w:pPr>
      <w:r w:rsidRPr="00F938D8">
        <w:rPr>
          <w:rStyle w:val="Appelnotedebasdep"/>
          <w:rFonts w:cstheme="minorHAnsi"/>
          <w:color w:val="000000" w:themeColor="text1"/>
        </w:rPr>
        <w:footnoteRef/>
      </w:r>
      <w:r w:rsidRPr="00F938D8">
        <w:rPr>
          <w:rFonts w:cstheme="minorHAnsi"/>
          <w:color w:val="000000" w:themeColor="text1"/>
          <w:lang w:val="en-US"/>
        </w:rPr>
        <w:t xml:space="preserve"> </w:t>
      </w:r>
      <w:r>
        <w:rPr>
          <w:rFonts w:cstheme="minorHAnsi"/>
          <w:bCs/>
          <w:color w:val="000000" w:themeColor="text1"/>
          <w:shd w:val="clear" w:color="auto" w:fill="FFFFFF"/>
          <w:lang w:val="en-GB"/>
        </w:rPr>
        <w:t>Ibid.</w:t>
      </w:r>
    </w:p>
  </w:footnote>
  <w:footnote w:id="80">
    <w:p w14:paraId="70942E78" w14:textId="4D9D284C" w:rsidR="00F938D8" w:rsidRPr="006710E3" w:rsidRDefault="00F938D8" w:rsidP="007755E0">
      <w:pPr>
        <w:jc w:val="both"/>
        <w:rPr>
          <w:lang w:val="en-US"/>
        </w:rPr>
      </w:pPr>
      <w:r w:rsidRPr="00CF77F0">
        <w:rPr>
          <w:rStyle w:val="Appelnotedebasdep"/>
          <w:rFonts w:asciiTheme="minorHAnsi" w:hAnsiTheme="minorHAnsi" w:cstheme="minorHAnsi"/>
          <w:sz w:val="20"/>
          <w:szCs w:val="20"/>
        </w:rPr>
        <w:footnoteRef/>
      </w:r>
      <w:r w:rsidRPr="006710E3">
        <w:rPr>
          <w:rFonts w:asciiTheme="minorHAnsi" w:hAnsiTheme="minorHAnsi" w:cstheme="minorHAnsi"/>
          <w:color w:val="000000" w:themeColor="text1"/>
          <w:sz w:val="20"/>
          <w:szCs w:val="20"/>
          <w:lang w:val="en-US"/>
        </w:rPr>
        <w:t xml:space="preserve"> </w:t>
      </w:r>
      <w:proofErr w:type="spellStart"/>
      <w:r w:rsidRPr="00F938D8">
        <w:rPr>
          <w:rFonts w:asciiTheme="minorHAnsi" w:hAnsiTheme="minorHAnsi" w:cstheme="minorHAnsi"/>
          <w:bCs/>
          <w:i/>
          <w:iCs/>
          <w:color w:val="000000" w:themeColor="text1"/>
          <w:sz w:val="20"/>
          <w:szCs w:val="20"/>
          <w:shd w:val="clear" w:color="auto" w:fill="FFFFFF"/>
          <w:lang w:val="en-US"/>
        </w:rPr>
        <w:t>Aranyosi</w:t>
      </w:r>
      <w:proofErr w:type="spellEnd"/>
      <w:r w:rsidRPr="00F938D8">
        <w:rPr>
          <w:rFonts w:asciiTheme="minorHAnsi" w:hAnsiTheme="minorHAnsi" w:cstheme="minorHAnsi"/>
          <w:bCs/>
          <w:color w:val="000000" w:themeColor="text1"/>
          <w:sz w:val="20"/>
          <w:szCs w:val="20"/>
          <w:shd w:val="clear" w:color="auto" w:fill="FFFFFF"/>
          <w:lang w:val="en-US"/>
        </w:rPr>
        <w:t xml:space="preserve"> and </w:t>
      </w:r>
      <w:proofErr w:type="spellStart"/>
      <w:r w:rsidRPr="00F938D8">
        <w:rPr>
          <w:rFonts w:asciiTheme="minorHAnsi" w:hAnsiTheme="minorHAnsi" w:cstheme="minorHAnsi"/>
          <w:bCs/>
          <w:i/>
          <w:iCs/>
          <w:color w:val="000000" w:themeColor="text1"/>
          <w:sz w:val="20"/>
          <w:szCs w:val="20"/>
          <w:shd w:val="clear" w:color="auto" w:fill="FFFFFF"/>
          <w:lang w:val="en-US"/>
        </w:rPr>
        <w:t>Căldăraru</w:t>
      </w:r>
      <w:proofErr w:type="spellEnd"/>
      <w:r w:rsidRPr="00F938D8">
        <w:rPr>
          <w:rFonts w:asciiTheme="minorHAnsi" w:hAnsiTheme="minorHAnsi" w:cstheme="minorHAnsi"/>
          <w:bCs/>
          <w:color w:val="000000" w:themeColor="text1"/>
          <w:sz w:val="20"/>
          <w:szCs w:val="20"/>
          <w:shd w:val="clear" w:color="auto" w:fill="FFFFFF"/>
          <w:lang w:val="en-US"/>
        </w:rPr>
        <w:t xml:space="preserve"> </w:t>
      </w:r>
      <w:r>
        <w:rPr>
          <w:rFonts w:asciiTheme="minorHAnsi" w:hAnsiTheme="minorHAnsi" w:cstheme="minorHAnsi"/>
          <w:bCs/>
          <w:color w:val="000000" w:themeColor="text1"/>
          <w:sz w:val="20"/>
          <w:szCs w:val="20"/>
          <w:shd w:val="clear" w:color="auto" w:fill="FFFFFF"/>
          <w:lang w:val="en-US"/>
        </w:rPr>
        <w:t xml:space="preserve">(n </w:t>
      </w:r>
      <w:r w:rsidR="00C7188E">
        <w:rPr>
          <w:rFonts w:asciiTheme="minorHAnsi" w:hAnsiTheme="minorHAnsi" w:cstheme="minorHAnsi"/>
          <w:bCs/>
          <w:color w:val="000000" w:themeColor="text1"/>
          <w:sz w:val="20"/>
          <w:szCs w:val="20"/>
          <w:shd w:val="clear" w:color="auto" w:fill="FFFFFF"/>
          <w:lang w:val="en-US"/>
        </w:rPr>
        <w:t>7</w:t>
      </w:r>
      <w:r w:rsidR="00CC1490">
        <w:rPr>
          <w:rFonts w:asciiTheme="minorHAnsi" w:hAnsiTheme="minorHAnsi" w:cstheme="minorHAnsi"/>
          <w:bCs/>
          <w:color w:val="000000" w:themeColor="text1"/>
          <w:sz w:val="20"/>
          <w:szCs w:val="20"/>
          <w:shd w:val="clear" w:color="auto" w:fill="FFFFFF"/>
          <w:lang w:val="en-US"/>
        </w:rPr>
        <w:t>7</w:t>
      </w:r>
      <w:r>
        <w:rPr>
          <w:rFonts w:asciiTheme="minorHAnsi" w:hAnsiTheme="minorHAnsi" w:cstheme="minorHAnsi"/>
          <w:bCs/>
          <w:color w:val="000000" w:themeColor="text1"/>
          <w:sz w:val="20"/>
          <w:szCs w:val="20"/>
          <w:shd w:val="clear" w:color="auto" w:fill="FFFFFF"/>
          <w:lang w:val="en-US"/>
        </w:rPr>
        <w:t>)</w:t>
      </w:r>
      <w:r w:rsidRPr="00F938D8">
        <w:rPr>
          <w:rFonts w:asciiTheme="minorHAnsi" w:hAnsiTheme="minorHAnsi" w:cstheme="minorHAnsi"/>
          <w:bCs/>
          <w:color w:val="000000" w:themeColor="text1"/>
          <w:sz w:val="20"/>
          <w:szCs w:val="20"/>
          <w:shd w:val="clear" w:color="auto" w:fill="FFFFFF"/>
          <w:lang w:val="en-US"/>
        </w:rPr>
        <w:t>, paras. 88-93.</w:t>
      </w:r>
    </w:p>
  </w:footnote>
  <w:footnote w:id="81">
    <w:p w14:paraId="7FC7B1F1" w14:textId="1CAC96C0" w:rsidR="00F938D8" w:rsidRPr="00533D7F" w:rsidRDefault="00F938D8" w:rsidP="007755E0">
      <w:pPr>
        <w:pStyle w:val="Notedebasdepage"/>
        <w:jc w:val="both"/>
        <w:rPr>
          <w:rFonts w:cstheme="minorHAnsi"/>
          <w:lang w:val="en-US"/>
        </w:rPr>
      </w:pPr>
      <w:r w:rsidRPr="00533D7F">
        <w:rPr>
          <w:rStyle w:val="Appelnotedebasdep"/>
          <w:rFonts w:cstheme="minorHAnsi"/>
        </w:rPr>
        <w:footnoteRef/>
      </w:r>
      <w:r w:rsidRPr="00533D7F">
        <w:rPr>
          <w:rFonts w:cstheme="minorHAnsi"/>
          <w:lang w:val="en-US"/>
        </w:rPr>
        <w:t xml:space="preserve"> </w:t>
      </w:r>
      <w:r w:rsidR="00665E9E">
        <w:rPr>
          <w:rFonts w:cstheme="minorHAnsi"/>
          <w:lang w:val="en-US"/>
        </w:rPr>
        <w:t>Zamboni (</w:t>
      </w:r>
      <w:r w:rsidR="00275D79">
        <w:rPr>
          <w:rFonts w:cstheme="minorHAnsi"/>
          <w:lang w:val="en-US"/>
        </w:rPr>
        <w:t xml:space="preserve">n </w:t>
      </w:r>
      <w:r w:rsidR="00665E9E">
        <w:rPr>
          <w:rFonts w:cstheme="minorHAnsi"/>
          <w:lang w:val="en-US"/>
        </w:rPr>
        <w:t>71).</w:t>
      </w:r>
      <w:r w:rsidRPr="00533D7F">
        <w:rPr>
          <w:rFonts w:cstheme="minorHAnsi"/>
          <w:lang w:val="en-US"/>
        </w:rPr>
        <w:t xml:space="preserve"> </w:t>
      </w:r>
    </w:p>
  </w:footnote>
  <w:footnote w:id="82">
    <w:p w14:paraId="0BA0A4E4" w14:textId="7E5B3455" w:rsidR="00F938D8" w:rsidRPr="00CF77F0" w:rsidRDefault="00F938D8" w:rsidP="007755E0">
      <w:pPr>
        <w:pStyle w:val="Notedebasdepage"/>
        <w:jc w:val="both"/>
        <w:rPr>
          <w:rFonts w:cstheme="minorHAnsi"/>
          <w:lang w:val="en-US"/>
        </w:rPr>
      </w:pPr>
      <w:r w:rsidRPr="00094D59">
        <w:rPr>
          <w:rStyle w:val="Appelnotedebasdep"/>
          <w:rFonts w:cstheme="minorHAnsi"/>
          <w:color w:val="000000" w:themeColor="text1"/>
        </w:rPr>
        <w:footnoteRef/>
      </w:r>
      <w:r w:rsidRPr="00094D59">
        <w:rPr>
          <w:rFonts w:cstheme="minorHAnsi"/>
          <w:color w:val="000000" w:themeColor="text1"/>
          <w:lang w:val="en-US"/>
        </w:rPr>
        <w:t xml:space="preserve"> </w:t>
      </w:r>
      <w:r>
        <w:rPr>
          <w:rFonts w:cstheme="minorHAnsi"/>
          <w:color w:val="000000" w:themeColor="text1"/>
          <w:lang w:val="en-US"/>
        </w:rPr>
        <w:t>Ibid.</w:t>
      </w:r>
    </w:p>
  </w:footnote>
  <w:footnote w:id="83">
    <w:p w14:paraId="2B41DF3B" w14:textId="5601C078" w:rsidR="00CA1B22" w:rsidRPr="00DD74B2" w:rsidRDefault="00CA1B22" w:rsidP="00CA1B22">
      <w:pPr>
        <w:jc w:val="both"/>
        <w:rPr>
          <w:rFonts w:asciiTheme="minorHAnsi" w:hAnsiTheme="minorHAnsi" w:cstheme="minorHAnsi"/>
          <w:i/>
          <w:iCs/>
          <w:sz w:val="20"/>
          <w:szCs w:val="20"/>
          <w:lang w:val="en-US"/>
        </w:rPr>
      </w:pPr>
      <w:r w:rsidRPr="00DD74B2">
        <w:rPr>
          <w:rStyle w:val="Appelnotedebasdep"/>
          <w:rFonts w:asciiTheme="minorHAnsi" w:hAnsiTheme="minorHAnsi" w:cstheme="minorHAnsi"/>
          <w:sz w:val="20"/>
          <w:szCs w:val="20"/>
        </w:rPr>
        <w:footnoteRef/>
      </w:r>
      <w:r w:rsidRPr="00DD74B2">
        <w:rPr>
          <w:rFonts w:asciiTheme="minorHAnsi" w:hAnsiTheme="minorHAnsi" w:cstheme="minorHAnsi"/>
          <w:sz w:val="20"/>
          <w:szCs w:val="20"/>
          <w:lang w:val="en-US"/>
        </w:rPr>
        <w:t xml:space="preserve"> </w:t>
      </w:r>
      <w:r w:rsidR="00C66A8A">
        <w:rPr>
          <w:rFonts w:asciiTheme="minorHAnsi" w:hAnsiTheme="minorHAnsi" w:cstheme="minorHAnsi"/>
          <w:sz w:val="20"/>
          <w:szCs w:val="20"/>
          <w:lang w:val="en-US"/>
        </w:rPr>
        <w:t>Ibid.</w:t>
      </w:r>
    </w:p>
  </w:footnote>
  <w:footnote w:id="84">
    <w:p w14:paraId="191DB52D" w14:textId="100F1A52" w:rsidR="00CA1B22" w:rsidRPr="00DD74B2" w:rsidRDefault="00CA1B22" w:rsidP="00CA1B22">
      <w:pPr>
        <w:pStyle w:val="Notedebasdepage"/>
        <w:jc w:val="both"/>
        <w:rPr>
          <w:rFonts w:cstheme="minorHAnsi"/>
          <w:lang w:val="en-US"/>
        </w:rPr>
      </w:pPr>
      <w:r w:rsidRPr="00DD74B2">
        <w:rPr>
          <w:rStyle w:val="Appelnotedebasdep"/>
          <w:rFonts w:cstheme="minorHAnsi"/>
        </w:rPr>
        <w:footnoteRef/>
      </w:r>
      <w:r w:rsidRPr="00DD74B2">
        <w:rPr>
          <w:rFonts w:cstheme="minorHAnsi"/>
          <w:lang w:val="en-US"/>
        </w:rPr>
        <w:t xml:space="preserve"> </w:t>
      </w:r>
      <w:r w:rsidRPr="00DD74B2">
        <w:rPr>
          <w:rFonts w:cstheme="minorHAnsi"/>
          <w:i/>
          <w:iCs/>
          <w:lang w:val="en-US"/>
        </w:rPr>
        <w:t>Romeo Casta</w:t>
      </w:r>
      <w:r w:rsidRPr="00DD74B2">
        <w:rPr>
          <w:rStyle w:val="Accentuation"/>
          <w:rFonts w:cstheme="minorHAnsi"/>
          <w:color w:val="000000" w:themeColor="text1"/>
          <w:lang w:val="en-US"/>
        </w:rPr>
        <w:t>ñ</w:t>
      </w:r>
      <w:r w:rsidRPr="00DD74B2">
        <w:rPr>
          <w:rStyle w:val="Accentuation"/>
          <w:rFonts w:eastAsiaTheme="majorEastAsia" w:cstheme="minorHAnsi"/>
          <w:color w:val="000000" w:themeColor="text1"/>
          <w:lang w:val="en-US"/>
        </w:rPr>
        <w:t>o</w:t>
      </w:r>
      <w:r w:rsidRPr="00DD74B2">
        <w:rPr>
          <w:rFonts w:cstheme="minorHAnsi"/>
          <w:lang w:val="en-US"/>
        </w:rPr>
        <w:t xml:space="preserve"> (n </w:t>
      </w:r>
      <w:r>
        <w:rPr>
          <w:rFonts w:cstheme="minorHAnsi"/>
          <w:lang w:val="en-US"/>
        </w:rPr>
        <w:t>4</w:t>
      </w:r>
      <w:r w:rsidRPr="00DD74B2">
        <w:rPr>
          <w:rFonts w:cstheme="minorHAnsi"/>
          <w:lang w:val="en-US"/>
        </w:rPr>
        <w:t>) p</w:t>
      </w:r>
      <w:r w:rsidR="00C66A8A">
        <w:rPr>
          <w:rFonts w:cstheme="minorHAnsi"/>
          <w:lang w:val="en-US"/>
        </w:rPr>
        <w:t xml:space="preserve">ara </w:t>
      </w:r>
      <w:r w:rsidRPr="00DD74B2">
        <w:rPr>
          <w:rFonts w:cstheme="minorHAnsi"/>
          <w:lang w:val="en-US"/>
        </w:rPr>
        <w:t>27.</w:t>
      </w:r>
    </w:p>
  </w:footnote>
  <w:footnote w:id="85">
    <w:p w14:paraId="23BC318D" w14:textId="1C96E769" w:rsidR="00CA1B22" w:rsidRPr="00DD74B2" w:rsidRDefault="00CA1B22" w:rsidP="00CA1B22">
      <w:pPr>
        <w:pStyle w:val="Notedebasdepage"/>
        <w:jc w:val="both"/>
        <w:rPr>
          <w:rFonts w:cstheme="minorHAnsi"/>
          <w:lang w:val="en-US"/>
        </w:rPr>
      </w:pPr>
      <w:r w:rsidRPr="00DD74B2">
        <w:rPr>
          <w:rStyle w:val="Appelnotedebasdep"/>
          <w:rFonts w:cstheme="minorHAnsi"/>
        </w:rPr>
        <w:footnoteRef/>
      </w:r>
      <w:r w:rsidRPr="00DD74B2">
        <w:rPr>
          <w:rFonts w:cstheme="minorHAnsi"/>
          <w:lang w:val="en-US"/>
        </w:rPr>
        <w:t xml:space="preserve"> Ibid., p</w:t>
      </w:r>
      <w:r w:rsidR="00C66A8A">
        <w:rPr>
          <w:rFonts w:cstheme="minorHAnsi"/>
          <w:lang w:val="en-US"/>
        </w:rPr>
        <w:t xml:space="preserve">ara </w:t>
      </w:r>
      <w:r w:rsidRPr="00DD74B2">
        <w:rPr>
          <w:rFonts w:cstheme="minorHAnsi"/>
          <w:lang w:val="en-US"/>
        </w:rPr>
        <w:t>29.</w:t>
      </w:r>
    </w:p>
  </w:footnote>
  <w:footnote w:id="86">
    <w:p w14:paraId="2D242A74" w14:textId="219AA5C6" w:rsidR="00CA1B22" w:rsidRPr="00F938D8" w:rsidRDefault="00CA1B22" w:rsidP="00CA1B22">
      <w:pPr>
        <w:pStyle w:val="Notedebasdepage"/>
        <w:jc w:val="both"/>
        <w:rPr>
          <w:lang w:val="en-US"/>
        </w:rPr>
      </w:pPr>
      <w:r>
        <w:rPr>
          <w:rStyle w:val="Appelnotedebasdep"/>
        </w:rPr>
        <w:footnoteRef/>
      </w:r>
      <w:r w:rsidR="00C66A8A">
        <w:rPr>
          <w:rFonts w:cstheme="minorHAnsi"/>
          <w:i/>
          <w:iCs/>
          <w:lang w:val="en-US"/>
        </w:rPr>
        <w:t xml:space="preserve"> </w:t>
      </w:r>
      <w:r w:rsidR="00C66A8A">
        <w:rPr>
          <w:rFonts w:cstheme="minorHAnsi"/>
          <w:lang w:val="en-US"/>
        </w:rPr>
        <w:t>Ibid</w:t>
      </w:r>
      <w:r>
        <w:rPr>
          <w:rFonts w:cstheme="minorHAnsi"/>
          <w:lang w:val="en-US"/>
        </w:rPr>
        <w:t>, para 82.</w:t>
      </w:r>
    </w:p>
  </w:footnote>
  <w:footnote w:id="87">
    <w:p w14:paraId="3D571CFA" w14:textId="44D66DA1" w:rsidR="00F938D8" w:rsidRPr="00533D7F" w:rsidRDefault="00F938D8" w:rsidP="00653EEE">
      <w:pPr>
        <w:pStyle w:val="Notedebasdepage"/>
        <w:jc w:val="both"/>
        <w:rPr>
          <w:rFonts w:cstheme="minorHAnsi"/>
          <w:lang w:val="en-US"/>
        </w:rPr>
      </w:pPr>
      <w:r w:rsidRPr="00533D7F">
        <w:rPr>
          <w:rStyle w:val="Appelnotedebasdep"/>
          <w:rFonts w:cstheme="minorHAnsi"/>
        </w:rPr>
        <w:footnoteRef/>
      </w:r>
      <w:r w:rsidRPr="00A15924">
        <w:rPr>
          <w:rFonts w:cstheme="minorHAnsi"/>
          <w:lang w:val="en-US"/>
        </w:rPr>
        <w:t xml:space="preserve"> </w:t>
      </w:r>
      <w:r w:rsidRPr="00533D7F">
        <w:rPr>
          <w:rFonts w:cstheme="minorHAnsi"/>
          <w:lang w:val="en-US"/>
        </w:rPr>
        <w:t>European Convention on Extradition</w:t>
      </w:r>
      <w:r>
        <w:rPr>
          <w:rFonts w:cstheme="minorHAnsi"/>
          <w:lang w:val="en-US"/>
        </w:rPr>
        <w:t xml:space="preserve"> (n </w:t>
      </w:r>
      <w:r w:rsidR="000D244A">
        <w:rPr>
          <w:rFonts w:cstheme="minorHAnsi"/>
          <w:lang w:val="en-US"/>
        </w:rPr>
        <w:t>5</w:t>
      </w:r>
      <w:r>
        <w:rPr>
          <w:rFonts w:cstheme="minorHAnsi"/>
          <w:lang w:val="en-US"/>
        </w:rPr>
        <w:t>)</w:t>
      </w:r>
      <w:r w:rsidRPr="00533D7F">
        <w:rPr>
          <w:rFonts w:cstheme="minorHAnsi"/>
          <w:lang w:val="en-US"/>
        </w:rPr>
        <w:t>,</w:t>
      </w:r>
      <w:r>
        <w:rPr>
          <w:rFonts w:cstheme="minorHAnsi"/>
          <w:lang w:val="en-US"/>
        </w:rPr>
        <w:t xml:space="preserve"> art. </w:t>
      </w:r>
      <w:r w:rsidRPr="00533D7F">
        <w:rPr>
          <w:rFonts w:cstheme="minorHAnsi"/>
          <w:lang w:val="en-US"/>
        </w:rPr>
        <w:t>3§1</w:t>
      </w:r>
      <w:r>
        <w:rPr>
          <w:rFonts w:cstheme="minorHAnsi"/>
          <w:lang w:val="en-US"/>
        </w:rPr>
        <w:t>.</w:t>
      </w:r>
    </w:p>
  </w:footnote>
  <w:footnote w:id="88">
    <w:p w14:paraId="06432301" w14:textId="7B043DF4" w:rsidR="00F938D8" w:rsidRPr="00533D7F" w:rsidRDefault="00F938D8" w:rsidP="00653EEE">
      <w:pPr>
        <w:pStyle w:val="Notedebasdepage"/>
        <w:jc w:val="both"/>
        <w:rPr>
          <w:rFonts w:cstheme="minorHAnsi"/>
          <w:lang w:val="en-US"/>
        </w:rPr>
      </w:pPr>
      <w:r w:rsidRPr="00533D7F">
        <w:rPr>
          <w:rStyle w:val="Appelnotedebasdep"/>
          <w:rFonts w:cstheme="minorHAnsi"/>
        </w:rPr>
        <w:footnoteRef/>
      </w:r>
      <w:r w:rsidRPr="00A15924">
        <w:rPr>
          <w:rFonts w:cstheme="minorHAnsi"/>
          <w:lang w:val="en-US"/>
        </w:rPr>
        <w:t xml:space="preserve"> </w:t>
      </w:r>
      <w:r>
        <w:rPr>
          <w:rFonts w:cstheme="minorHAnsi"/>
          <w:lang w:val="en-US"/>
        </w:rPr>
        <w:t>Ibid., a</w:t>
      </w:r>
      <w:r w:rsidRPr="00533D7F">
        <w:rPr>
          <w:rFonts w:cstheme="minorHAnsi"/>
          <w:lang w:val="en-US"/>
        </w:rPr>
        <w:t>rt. 3§2</w:t>
      </w:r>
      <w:r>
        <w:rPr>
          <w:rFonts w:cstheme="minorHAns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F4AA5" w14:textId="77777777" w:rsidR="00C711E0" w:rsidRDefault="00C711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C694B"/>
    <w:multiLevelType w:val="hybridMultilevel"/>
    <w:tmpl w:val="8F52C12E"/>
    <w:lvl w:ilvl="0" w:tplc="AA6A1D76">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5C5425"/>
    <w:multiLevelType w:val="multilevel"/>
    <w:tmpl w:val="3CC494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5C254B"/>
    <w:multiLevelType w:val="multilevel"/>
    <w:tmpl w:val="D4288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ED3A6E"/>
    <w:multiLevelType w:val="hybridMultilevel"/>
    <w:tmpl w:val="365239E2"/>
    <w:lvl w:ilvl="0" w:tplc="EF982E2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E7"/>
    <w:rsid w:val="0000159A"/>
    <w:rsid w:val="00003C24"/>
    <w:rsid w:val="00004418"/>
    <w:rsid w:val="00006D2B"/>
    <w:rsid w:val="000125B0"/>
    <w:rsid w:val="0001607A"/>
    <w:rsid w:val="00016344"/>
    <w:rsid w:val="00020520"/>
    <w:rsid w:val="00021411"/>
    <w:rsid w:val="000228AD"/>
    <w:rsid w:val="00022F02"/>
    <w:rsid w:val="00023AD4"/>
    <w:rsid w:val="000304D2"/>
    <w:rsid w:val="00032523"/>
    <w:rsid w:val="00034017"/>
    <w:rsid w:val="0003670C"/>
    <w:rsid w:val="000441DB"/>
    <w:rsid w:val="00044728"/>
    <w:rsid w:val="00045E8C"/>
    <w:rsid w:val="00046865"/>
    <w:rsid w:val="00047718"/>
    <w:rsid w:val="0005013E"/>
    <w:rsid w:val="00050FB4"/>
    <w:rsid w:val="000511AD"/>
    <w:rsid w:val="00052323"/>
    <w:rsid w:val="000523FE"/>
    <w:rsid w:val="00054EA7"/>
    <w:rsid w:val="00055103"/>
    <w:rsid w:val="00060188"/>
    <w:rsid w:val="000635CA"/>
    <w:rsid w:val="00064413"/>
    <w:rsid w:val="00064F2A"/>
    <w:rsid w:val="000663E6"/>
    <w:rsid w:val="00074240"/>
    <w:rsid w:val="000745D8"/>
    <w:rsid w:val="000756C5"/>
    <w:rsid w:val="00075E59"/>
    <w:rsid w:val="000815B0"/>
    <w:rsid w:val="00083404"/>
    <w:rsid w:val="00083D88"/>
    <w:rsid w:val="000846A3"/>
    <w:rsid w:val="00086226"/>
    <w:rsid w:val="00086B6F"/>
    <w:rsid w:val="0008797C"/>
    <w:rsid w:val="000946EC"/>
    <w:rsid w:val="00094B3D"/>
    <w:rsid w:val="000959C9"/>
    <w:rsid w:val="00096C04"/>
    <w:rsid w:val="00097649"/>
    <w:rsid w:val="000A1EA7"/>
    <w:rsid w:val="000A3416"/>
    <w:rsid w:val="000A3F64"/>
    <w:rsid w:val="000A3FF2"/>
    <w:rsid w:val="000A426D"/>
    <w:rsid w:val="000A5759"/>
    <w:rsid w:val="000A7594"/>
    <w:rsid w:val="000B14F7"/>
    <w:rsid w:val="000B1AFD"/>
    <w:rsid w:val="000B2DDF"/>
    <w:rsid w:val="000B3D08"/>
    <w:rsid w:val="000B4C8C"/>
    <w:rsid w:val="000C07AE"/>
    <w:rsid w:val="000C109A"/>
    <w:rsid w:val="000C10FA"/>
    <w:rsid w:val="000C305E"/>
    <w:rsid w:val="000C3949"/>
    <w:rsid w:val="000C4083"/>
    <w:rsid w:val="000C4E34"/>
    <w:rsid w:val="000C5734"/>
    <w:rsid w:val="000C5879"/>
    <w:rsid w:val="000D244A"/>
    <w:rsid w:val="000D3A4A"/>
    <w:rsid w:val="000D3C3E"/>
    <w:rsid w:val="000E137D"/>
    <w:rsid w:val="000E28D4"/>
    <w:rsid w:val="000E438C"/>
    <w:rsid w:val="000E4EAA"/>
    <w:rsid w:val="000F0190"/>
    <w:rsid w:val="000F2CDC"/>
    <w:rsid w:val="000F7583"/>
    <w:rsid w:val="001001A3"/>
    <w:rsid w:val="0010037D"/>
    <w:rsid w:val="00101577"/>
    <w:rsid w:val="001022E0"/>
    <w:rsid w:val="0010546C"/>
    <w:rsid w:val="00106583"/>
    <w:rsid w:val="0011022B"/>
    <w:rsid w:val="00113484"/>
    <w:rsid w:val="0011379F"/>
    <w:rsid w:val="00115021"/>
    <w:rsid w:val="00115410"/>
    <w:rsid w:val="00115E50"/>
    <w:rsid w:val="0011657F"/>
    <w:rsid w:val="00116718"/>
    <w:rsid w:val="00120DB6"/>
    <w:rsid w:val="00121A6E"/>
    <w:rsid w:val="00123188"/>
    <w:rsid w:val="001232E4"/>
    <w:rsid w:val="001250A0"/>
    <w:rsid w:val="00125AFB"/>
    <w:rsid w:val="001266B4"/>
    <w:rsid w:val="00126AE6"/>
    <w:rsid w:val="00130F6B"/>
    <w:rsid w:val="00131725"/>
    <w:rsid w:val="001368E0"/>
    <w:rsid w:val="00136A53"/>
    <w:rsid w:val="00137788"/>
    <w:rsid w:val="00141577"/>
    <w:rsid w:val="00142ADB"/>
    <w:rsid w:val="00144F88"/>
    <w:rsid w:val="001471D2"/>
    <w:rsid w:val="001504A2"/>
    <w:rsid w:val="00152AD7"/>
    <w:rsid w:val="001536AC"/>
    <w:rsid w:val="00154069"/>
    <w:rsid w:val="00157091"/>
    <w:rsid w:val="001576A8"/>
    <w:rsid w:val="001612CE"/>
    <w:rsid w:val="00162A80"/>
    <w:rsid w:val="00166241"/>
    <w:rsid w:val="001674CB"/>
    <w:rsid w:val="00167B8B"/>
    <w:rsid w:val="00170B24"/>
    <w:rsid w:val="0017108C"/>
    <w:rsid w:val="001713B1"/>
    <w:rsid w:val="001731F7"/>
    <w:rsid w:val="00173CF5"/>
    <w:rsid w:val="00174340"/>
    <w:rsid w:val="00175642"/>
    <w:rsid w:val="00180762"/>
    <w:rsid w:val="00180DB6"/>
    <w:rsid w:val="0018218C"/>
    <w:rsid w:val="00183A3D"/>
    <w:rsid w:val="001855C7"/>
    <w:rsid w:val="00187E58"/>
    <w:rsid w:val="00190D46"/>
    <w:rsid w:val="0019165B"/>
    <w:rsid w:val="001926FE"/>
    <w:rsid w:val="00196748"/>
    <w:rsid w:val="0019692D"/>
    <w:rsid w:val="001A0CA6"/>
    <w:rsid w:val="001A165C"/>
    <w:rsid w:val="001A2250"/>
    <w:rsid w:val="001A2E25"/>
    <w:rsid w:val="001A3CD2"/>
    <w:rsid w:val="001A437C"/>
    <w:rsid w:val="001A4AE5"/>
    <w:rsid w:val="001A6387"/>
    <w:rsid w:val="001B5834"/>
    <w:rsid w:val="001B7D82"/>
    <w:rsid w:val="001C1F91"/>
    <w:rsid w:val="001C25C9"/>
    <w:rsid w:val="001C4C5A"/>
    <w:rsid w:val="001C52CE"/>
    <w:rsid w:val="001D1B61"/>
    <w:rsid w:val="001D2335"/>
    <w:rsid w:val="001D27D5"/>
    <w:rsid w:val="001D4010"/>
    <w:rsid w:val="001D54EF"/>
    <w:rsid w:val="001D5A90"/>
    <w:rsid w:val="001D7350"/>
    <w:rsid w:val="001E2194"/>
    <w:rsid w:val="001E2486"/>
    <w:rsid w:val="001E5C3A"/>
    <w:rsid w:val="001E6A5A"/>
    <w:rsid w:val="001E7E31"/>
    <w:rsid w:val="001F0AC4"/>
    <w:rsid w:val="001F1AD2"/>
    <w:rsid w:val="001F376C"/>
    <w:rsid w:val="001F3FA7"/>
    <w:rsid w:val="001F585B"/>
    <w:rsid w:val="001F5B7B"/>
    <w:rsid w:val="001F5DF3"/>
    <w:rsid w:val="001F6FA1"/>
    <w:rsid w:val="00201379"/>
    <w:rsid w:val="00203D37"/>
    <w:rsid w:val="002040A9"/>
    <w:rsid w:val="00205B60"/>
    <w:rsid w:val="00207282"/>
    <w:rsid w:val="00210079"/>
    <w:rsid w:val="00210D4E"/>
    <w:rsid w:val="00211BEA"/>
    <w:rsid w:val="002132B6"/>
    <w:rsid w:val="002149AA"/>
    <w:rsid w:val="00215119"/>
    <w:rsid w:val="00215993"/>
    <w:rsid w:val="0021659B"/>
    <w:rsid w:val="00220AAB"/>
    <w:rsid w:val="00220CDD"/>
    <w:rsid w:val="00222BED"/>
    <w:rsid w:val="00224DB3"/>
    <w:rsid w:val="00225893"/>
    <w:rsid w:val="00226F1D"/>
    <w:rsid w:val="00227597"/>
    <w:rsid w:val="00230045"/>
    <w:rsid w:val="0023357F"/>
    <w:rsid w:val="002366FD"/>
    <w:rsid w:val="00236889"/>
    <w:rsid w:val="00242EA4"/>
    <w:rsid w:val="00244770"/>
    <w:rsid w:val="00251450"/>
    <w:rsid w:val="00256428"/>
    <w:rsid w:val="00257415"/>
    <w:rsid w:val="002603EA"/>
    <w:rsid w:val="00262790"/>
    <w:rsid w:val="00263059"/>
    <w:rsid w:val="00263BF4"/>
    <w:rsid w:val="00270D89"/>
    <w:rsid w:val="002729A4"/>
    <w:rsid w:val="00275D79"/>
    <w:rsid w:val="00280DFA"/>
    <w:rsid w:val="00280E58"/>
    <w:rsid w:val="002818EC"/>
    <w:rsid w:val="00281C0D"/>
    <w:rsid w:val="00285799"/>
    <w:rsid w:val="0028645E"/>
    <w:rsid w:val="0028678F"/>
    <w:rsid w:val="00291F55"/>
    <w:rsid w:val="002936D9"/>
    <w:rsid w:val="0029573C"/>
    <w:rsid w:val="002962AB"/>
    <w:rsid w:val="00296477"/>
    <w:rsid w:val="00296FE6"/>
    <w:rsid w:val="002A0E71"/>
    <w:rsid w:val="002A0F51"/>
    <w:rsid w:val="002A11CE"/>
    <w:rsid w:val="002A54E5"/>
    <w:rsid w:val="002A611B"/>
    <w:rsid w:val="002B2D63"/>
    <w:rsid w:val="002B3504"/>
    <w:rsid w:val="002B492B"/>
    <w:rsid w:val="002B5226"/>
    <w:rsid w:val="002B5B18"/>
    <w:rsid w:val="002B60AA"/>
    <w:rsid w:val="002B6D4D"/>
    <w:rsid w:val="002C1200"/>
    <w:rsid w:val="002C21F9"/>
    <w:rsid w:val="002C33B5"/>
    <w:rsid w:val="002C355C"/>
    <w:rsid w:val="002C36B0"/>
    <w:rsid w:val="002C3A22"/>
    <w:rsid w:val="002C58EE"/>
    <w:rsid w:val="002D090F"/>
    <w:rsid w:val="002D4788"/>
    <w:rsid w:val="002D636F"/>
    <w:rsid w:val="002D75E7"/>
    <w:rsid w:val="002E0A72"/>
    <w:rsid w:val="002E3596"/>
    <w:rsid w:val="002E4869"/>
    <w:rsid w:val="002E4E62"/>
    <w:rsid w:val="002E5AD9"/>
    <w:rsid w:val="002E7228"/>
    <w:rsid w:val="002F04F3"/>
    <w:rsid w:val="002F62F6"/>
    <w:rsid w:val="002F6630"/>
    <w:rsid w:val="002F6DAC"/>
    <w:rsid w:val="0030045B"/>
    <w:rsid w:val="00300DC7"/>
    <w:rsid w:val="003029F1"/>
    <w:rsid w:val="00304608"/>
    <w:rsid w:val="00306E98"/>
    <w:rsid w:val="0030750E"/>
    <w:rsid w:val="003075CC"/>
    <w:rsid w:val="0031012B"/>
    <w:rsid w:val="003105BD"/>
    <w:rsid w:val="00311F56"/>
    <w:rsid w:val="0032041F"/>
    <w:rsid w:val="00321A69"/>
    <w:rsid w:val="003231B7"/>
    <w:rsid w:val="0032336B"/>
    <w:rsid w:val="003235BA"/>
    <w:rsid w:val="00325FA4"/>
    <w:rsid w:val="00326252"/>
    <w:rsid w:val="00326A35"/>
    <w:rsid w:val="003276DC"/>
    <w:rsid w:val="0032796D"/>
    <w:rsid w:val="0033074D"/>
    <w:rsid w:val="003313FA"/>
    <w:rsid w:val="00332C4C"/>
    <w:rsid w:val="00332E9C"/>
    <w:rsid w:val="00334A6D"/>
    <w:rsid w:val="00334E05"/>
    <w:rsid w:val="00337A67"/>
    <w:rsid w:val="00342CEE"/>
    <w:rsid w:val="003431A1"/>
    <w:rsid w:val="00343791"/>
    <w:rsid w:val="00346D15"/>
    <w:rsid w:val="00346F79"/>
    <w:rsid w:val="00347A88"/>
    <w:rsid w:val="00350D89"/>
    <w:rsid w:val="00352FE8"/>
    <w:rsid w:val="00353193"/>
    <w:rsid w:val="0035768B"/>
    <w:rsid w:val="00361D67"/>
    <w:rsid w:val="00362A87"/>
    <w:rsid w:val="00362EEF"/>
    <w:rsid w:val="0036446B"/>
    <w:rsid w:val="00364821"/>
    <w:rsid w:val="0036540B"/>
    <w:rsid w:val="003659DB"/>
    <w:rsid w:val="00367472"/>
    <w:rsid w:val="0037071E"/>
    <w:rsid w:val="00374C06"/>
    <w:rsid w:val="00375AC2"/>
    <w:rsid w:val="00380C87"/>
    <w:rsid w:val="00381B30"/>
    <w:rsid w:val="00383856"/>
    <w:rsid w:val="00383E8D"/>
    <w:rsid w:val="00385831"/>
    <w:rsid w:val="00387135"/>
    <w:rsid w:val="00395F58"/>
    <w:rsid w:val="003A077A"/>
    <w:rsid w:val="003A07E3"/>
    <w:rsid w:val="003A09EA"/>
    <w:rsid w:val="003A1FE6"/>
    <w:rsid w:val="003A3477"/>
    <w:rsid w:val="003A351E"/>
    <w:rsid w:val="003A39CD"/>
    <w:rsid w:val="003A5A26"/>
    <w:rsid w:val="003A76A3"/>
    <w:rsid w:val="003A79EE"/>
    <w:rsid w:val="003B05E7"/>
    <w:rsid w:val="003B0FBA"/>
    <w:rsid w:val="003B25A1"/>
    <w:rsid w:val="003B3A1B"/>
    <w:rsid w:val="003B534B"/>
    <w:rsid w:val="003B77C6"/>
    <w:rsid w:val="003B7ABD"/>
    <w:rsid w:val="003C0682"/>
    <w:rsid w:val="003C06E4"/>
    <w:rsid w:val="003C0F55"/>
    <w:rsid w:val="003C4061"/>
    <w:rsid w:val="003C5FD7"/>
    <w:rsid w:val="003C73F2"/>
    <w:rsid w:val="003D0DDA"/>
    <w:rsid w:val="003D1E84"/>
    <w:rsid w:val="003D28D2"/>
    <w:rsid w:val="003D3195"/>
    <w:rsid w:val="003E2247"/>
    <w:rsid w:val="003E41DB"/>
    <w:rsid w:val="003E5EE1"/>
    <w:rsid w:val="003F10ED"/>
    <w:rsid w:val="003F30CB"/>
    <w:rsid w:val="003F4A27"/>
    <w:rsid w:val="003F756F"/>
    <w:rsid w:val="00400294"/>
    <w:rsid w:val="0040108B"/>
    <w:rsid w:val="0040130A"/>
    <w:rsid w:val="00404839"/>
    <w:rsid w:val="0040658B"/>
    <w:rsid w:val="00407019"/>
    <w:rsid w:val="00407476"/>
    <w:rsid w:val="0040785E"/>
    <w:rsid w:val="004079F6"/>
    <w:rsid w:val="004117EB"/>
    <w:rsid w:val="00411E66"/>
    <w:rsid w:val="004124B1"/>
    <w:rsid w:val="00421F73"/>
    <w:rsid w:val="00423E50"/>
    <w:rsid w:val="00425AC5"/>
    <w:rsid w:val="004268D5"/>
    <w:rsid w:val="00430CB7"/>
    <w:rsid w:val="00432EFC"/>
    <w:rsid w:val="0043331F"/>
    <w:rsid w:val="00433F70"/>
    <w:rsid w:val="004348F0"/>
    <w:rsid w:val="00435DC4"/>
    <w:rsid w:val="0044045F"/>
    <w:rsid w:val="004435A0"/>
    <w:rsid w:val="00444D0A"/>
    <w:rsid w:val="004456D6"/>
    <w:rsid w:val="004459BD"/>
    <w:rsid w:val="00446347"/>
    <w:rsid w:val="00447CB5"/>
    <w:rsid w:val="004526E8"/>
    <w:rsid w:val="00452FCB"/>
    <w:rsid w:val="00457295"/>
    <w:rsid w:val="00460E69"/>
    <w:rsid w:val="00463744"/>
    <w:rsid w:val="00466A96"/>
    <w:rsid w:val="004717C0"/>
    <w:rsid w:val="00474BC4"/>
    <w:rsid w:val="00474C86"/>
    <w:rsid w:val="0047639C"/>
    <w:rsid w:val="00477829"/>
    <w:rsid w:val="004803FA"/>
    <w:rsid w:val="004823D4"/>
    <w:rsid w:val="00483D1C"/>
    <w:rsid w:val="0048596D"/>
    <w:rsid w:val="00487CD8"/>
    <w:rsid w:val="00491FE5"/>
    <w:rsid w:val="004A0149"/>
    <w:rsid w:val="004A20BB"/>
    <w:rsid w:val="004A4121"/>
    <w:rsid w:val="004A49C7"/>
    <w:rsid w:val="004A5690"/>
    <w:rsid w:val="004A659B"/>
    <w:rsid w:val="004A6ADC"/>
    <w:rsid w:val="004B0235"/>
    <w:rsid w:val="004B04B9"/>
    <w:rsid w:val="004B129C"/>
    <w:rsid w:val="004B3047"/>
    <w:rsid w:val="004C002D"/>
    <w:rsid w:val="004C2917"/>
    <w:rsid w:val="004C2AB1"/>
    <w:rsid w:val="004C46FA"/>
    <w:rsid w:val="004C5946"/>
    <w:rsid w:val="004C7D60"/>
    <w:rsid w:val="004D15B1"/>
    <w:rsid w:val="004D1BAC"/>
    <w:rsid w:val="004D3C0A"/>
    <w:rsid w:val="004D476C"/>
    <w:rsid w:val="004D7CC5"/>
    <w:rsid w:val="004D7F96"/>
    <w:rsid w:val="004E090D"/>
    <w:rsid w:val="004E2186"/>
    <w:rsid w:val="004E2FFD"/>
    <w:rsid w:val="004F0145"/>
    <w:rsid w:val="004F3236"/>
    <w:rsid w:val="00500AD0"/>
    <w:rsid w:val="00501DFF"/>
    <w:rsid w:val="00503FD8"/>
    <w:rsid w:val="0050501C"/>
    <w:rsid w:val="0050592C"/>
    <w:rsid w:val="00506B9D"/>
    <w:rsid w:val="00510898"/>
    <w:rsid w:val="005120DE"/>
    <w:rsid w:val="00513EE8"/>
    <w:rsid w:val="00515235"/>
    <w:rsid w:val="00516195"/>
    <w:rsid w:val="00516C2E"/>
    <w:rsid w:val="00517B20"/>
    <w:rsid w:val="00521F5F"/>
    <w:rsid w:val="00522342"/>
    <w:rsid w:val="005231C6"/>
    <w:rsid w:val="00523CF8"/>
    <w:rsid w:val="00526F8A"/>
    <w:rsid w:val="00530BAA"/>
    <w:rsid w:val="00533100"/>
    <w:rsid w:val="00533D7F"/>
    <w:rsid w:val="00537177"/>
    <w:rsid w:val="005408C4"/>
    <w:rsid w:val="005437E4"/>
    <w:rsid w:val="00545DEA"/>
    <w:rsid w:val="00546065"/>
    <w:rsid w:val="005461F4"/>
    <w:rsid w:val="0054761D"/>
    <w:rsid w:val="0055016D"/>
    <w:rsid w:val="005505D3"/>
    <w:rsid w:val="00551E57"/>
    <w:rsid w:val="005542F9"/>
    <w:rsid w:val="00555728"/>
    <w:rsid w:val="0055647B"/>
    <w:rsid w:val="00561DD6"/>
    <w:rsid w:val="0056306F"/>
    <w:rsid w:val="005638B9"/>
    <w:rsid w:val="00564954"/>
    <w:rsid w:val="00566CE9"/>
    <w:rsid w:val="0057268B"/>
    <w:rsid w:val="0057407D"/>
    <w:rsid w:val="005756A1"/>
    <w:rsid w:val="00575D19"/>
    <w:rsid w:val="00580942"/>
    <w:rsid w:val="0058179A"/>
    <w:rsid w:val="0058335D"/>
    <w:rsid w:val="00583E5A"/>
    <w:rsid w:val="00585250"/>
    <w:rsid w:val="00585DD0"/>
    <w:rsid w:val="0058696C"/>
    <w:rsid w:val="00590AF7"/>
    <w:rsid w:val="005956CD"/>
    <w:rsid w:val="00596D20"/>
    <w:rsid w:val="005978A3"/>
    <w:rsid w:val="005A0984"/>
    <w:rsid w:val="005A1C1B"/>
    <w:rsid w:val="005A3DD1"/>
    <w:rsid w:val="005A5E5F"/>
    <w:rsid w:val="005A67EF"/>
    <w:rsid w:val="005B0F79"/>
    <w:rsid w:val="005B2DF6"/>
    <w:rsid w:val="005B422F"/>
    <w:rsid w:val="005B4A83"/>
    <w:rsid w:val="005B5348"/>
    <w:rsid w:val="005B6428"/>
    <w:rsid w:val="005B6D54"/>
    <w:rsid w:val="005B7DE5"/>
    <w:rsid w:val="005C45AF"/>
    <w:rsid w:val="005C56FE"/>
    <w:rsid w:val="005D43F5"/>
    <w:rsid w:val="005D5010"/>
    <w:rsid w:val="005D5226"/>
    <w:rsid w:val="005D60C9"/>
    <w:rsid w:val="005E010C"/>
    <w:rsid w:val="005E0514"/>
    <w:rsid w:val="005E0CB9"/>
    <w:rsid w:val="005E1206"/>
    <w:rsid w:val="005E342C"/>
    <w:rsid w:val="005E449D"/>
    <w:rsid w:val="005E4805"/>
    <w:rsid w:val="005F09EC"/>
    <w:rsid w:val="005F3FFF"/>
    <w:rsid w:val="005F406D"/>
    <w:rsid w:val="005F71B7"/>
    <w:rsid w:val="005F73EA"/>
    <w:rsid w:val="006015F5"/>
    <w:rsid w:val="00601B68"/>
    <w:rsid w:val="0060255A"/>
    <w:rsid w:val="00602896"/>
    <w:rsid w:val="00602962"/>
    <w:rsid w:val="0060437B"/>
    <w:rsid w:val="0060445D"/>
    <w:rsid w:val="00606EB9"/>
    <w:rsid w:val="006078EA"/>
    <w:rsid w:val="00612359"/>
    <w:rsid w:val="00615E93"/>
    <w:rsid w:val="0061777D"/>
    <w:rsid w:val="00620359"/>
    <w:rsid w:val="00620CC0"/>
    <w:rsid w:val="006238A5"/>
    <w:rsid w:val="006239F5"/>
    <w:rsid w:val="006241E8"/>
    <w:rsid w:val="00627D76"/>
    <w:rsid w:val="00632751"/>
    <w:rsid w:val="00633A18"/>
    <w:rsid w:val="0063480A"/>
    <w:rsid w:val="0063617D"/>
    <w:rsid w:val="006370F4"/>
    <w:rsid w:val="00637568"/>
    <w:rsid w:val="006443F3"/>
    <w:rsid w:val="00647E3F"/>
    <w:rsid w:val="00650689"/>
    <w:rsid w:val="0065091E"/>
    <w:rsid w:val="00650BF2"/>
    <w:rsid w:val="00651A86"/>
    <w:rsid w:val="00652B83"/>
    <w:rsid w:val="00653EEE"/>
    <w:rsid w:val="00654DA0"/>
    <w:rsid w:val="006606AE"/>
    <w:rsid w:val="006626DA"/>
    <w:rsid w:val="0066344A"/>
    <w:rsid w:val="00663771"/>
    <w:rsid w:val="00664500"/>
    <w:rsid w:val="00665DCC"/>
    <w:rsid w:val="00665E9E"/>
    <w:rsid w:val="00665F0E"/>
    <w:rsid w:val="00665FDB"/>
    <w:rsid w:val="006660EA"/>
    <w:rsid w:val="0066713B"/>
    <w:rsid w:val="006710E3"/>
    <w:rsid w:val="00675D3D"/>
    <w:rsid w:val="00676926"/>
    <w:rsid w:val="00681A79"/>
    <w:rsid w:val="00682683"/>
    <w:rsid w:val="00684262"/>
    <w:rsid w:val="00685BA9"/>
    <w:rsid w:val="00690DFF"/>
    <w:rsid w:val="00694A4F"/>
    <w:rsid w:val="00694D5E"/>
    <w:rsid w:val="006968F7"/>
    <w:rsid w:val="00697EB0"/>
    <w:rsid w:val="006A183E"/>
    <w:rsid w:val="006A3589"/>
    <w:rsid w:val="006A3977"/>
    <w:rsid w:val="006A42BA"/>
    <w:rsid w:val="006A4337"/>
    <w:rsid w:val="006A439D"/>
    <w:rsid w:val="006A47CD"/>
    <w:rsid w:val="006A50E1"/>
    <w:rsid w:val="006A5911"/>
    <w:rsid w:val="006A6559"/>
    <w:rsid w:val="006A6DF0"/>
    <w:rsid w:val="006B2E17"/>
    <w:rsid w:val="006B3E17"/>
    <w:rsid w:val="006B3FC4"/>
    <w:rsid w:val="006B5B78"/>
    <w:rsid w:val="006B7C30"/>
    <w:rsid w:val="006B7F32"/>
    <w:rsid w:val="006C10E9"/>
    <w:rsid w:val="006C1610"/>
    <w:rsid w:val="006C1990"/>
    <w:rsid w:val="006C22F7"/>
    <w:rsid w:val="006C3823"/>
    <w:rsid w:val="006C3FFA"/>
    <w:rsid w:val="006C40D0"/>
    <w:rsid w:val="006C56F3"/>
    <w:rsid w:val="006C6384"/>
    <w:rsid w:val="006C7C3A"/>
    <w:rsid w:val="006D07C2"/>
    <w:rsid w:val="006D0AFC"/>
    <w:rsid w:val="006D1174"/>
    <w:rsid w:val="006D1AFE"/>
    <w:rsid w:val="006D2544"/>
    <w:rsid w:val="006D6B1D"/>
    <w:rsid w:val="006E1899"/>
    <w:rsid w:val="006E30C9"/>
    <w:rsid w:val="006E3784"/>
    <w:rsid w:val="006E5708"/>
    <w:rsid w:val="006E589B"/>
    <w:rsid w:val="006E6692"/>
    <w:rsid w:val="006E7628"/>
    <w:rsid w:val="006E7B65"/>
    <w:rsid w:val="006F0660"/>
    <w:rsid w:val="006F397F"/>
    <w:rsid w:val="006F75B1"/>
    <w:rsid w:val="00701426"/>
    <w:rsid w:val="00704757"/>
    <w:rsid w:val="00704C3A"/>
    <w:rsid w:val="00704FBD"/>
    <w:rsid w:val="007060E1"/>
    <w:rsid w:val="00706313"/>
    <w:rsid w:val="00707AC9"/>
    <w:rsid w:val="00710D4B"/>
    <w:rsid w:val="0071123C"/>
    <w:rsid w:val="007114FD"/>
    <w:rsid w:val="0071279D"/>
    <w:rsid w:val="0071446F"/>
    <w:rsid w:val="007145A8"/>
    <w:rsid w:val="00714E64"/>
    <w:rsid w:val="0071511C"/>
    <w:rsid w:val="0071576E"/>
    <w:rsid w:val="007160E9"/>
    <w:rsid w:val="007175ED"/>
    <w:rsid w:val="00721A69"/>
    <w:rsid w:val="00721DE8"/>
    <w:rsid w:val="00722641"/>
    <w:rsid w:val="007232B2"/>
    <w:rsid w:val="00727F0B"/>
    <w:rsid w:val="007322C6"/>
    <w:rsid w:val="00737692"/>
    <w:rsid w:val="00740568"/>
    <w:rsid w:val="00741838"/>
    <w:rsid w:val="00744F63"/>
    <w:rsid w:val="007453DE"/>
    <w:rsid w:val="00746274"/>
    <w:rsid w:val="00752FDA"/>
    <w:rsid w:val="007539C4"/>
    <w:rsid w:val="00754A14"/>
    <w:rsid w:val="00755135"/>
    <w:rsid w:val="0075582A"/>
    <w:rsid w:val="00756644"/>
    <w:rsid w:val="007579B0"/>
    <w:rsid w:val="00761B3B"/>
    <w:rsid w:val="00763051"/>
    <w:rsid w:val="00766B27"/>
    <w:rsid w:val="00767063"/>
    <w:rsid w:val="007705C9"/>
    <w:rsid w:val="00771267"/>
    <w:rsid w:val="007719DB"/>
    <w:rsid w:val="00771EB8"/>
    <w:rsid w:val="007755E0"/>
    <w:rsid w:val="00775F4A"/>
    <w:rsid w:val="007775A0"/>
    <w:rsid w:val="00782D23"/>
    <w:rsid w:val="00785581"/>
    <w:rsid w:val="00785B7A"/>
    <w:rsid w:val="0079145C"/>
    <w:rsid w:val="00791E1E"/>
    <w:rsid w:val="00793F62"/>
    <w:rsid w:val="00797767"/>
    <w:rsid w:val="00797C4A"/>
    <w:rsid w:val="00797E1E"/>
    <w:rsid w:val="007A167F"/>
    <w:rsid w:val="007A26CC"/>
    <w:rsid w:val="007A29F0"/>
    <w:rsid w:val="007A3068"/>
    <w:rsid w:val="007A3093"/>
    <w:rsid w:val="007A3B91"/>
    <w:rsid w:val="007A77A1"/>
    <w:rsid w:val="007B1F0D"/>
    <w:rsid w:val="007B4654"/>
    <w:rsid w:val="007B7C4E"/>
    <w:rsid w:val="007C2534"/>
    <w:rsid w:val="007C32B7"/>
    <w:rsid w:val="007C4233"/>
    <w:rsid w:val="007C7266"/>
    <w:rsid w:val="007C7565"/>
    <w:rsid w:val="007D2999"/>
    <w:rsid w:val="007D2F8E"/>
    <w:rsid w:val="007D3A27"/>
    <w:rsid w:val="007D5269"/>
    <w:rsid w:val="007E1017"/>
    <w:rsid w:val="007E1F63"/>
    <w:rsid w:val="007E3BA4"/>
    <w:rsid w:val="007E44FF"/>
    <w:rsid w:val="007E54DB"/>
    <w:rsid w:val="007E5B1B"/>
    <w:rsid w:val="007F000C"/>
    <w:rsid w:val="007F119A"/>
    <w:rsid w:val="007F3310"/>
    <w:rsid w:val="007F3A6F"/>
    <w:rsid w:val="007F5E00"/>
    <w:rsid w:val="007F7158"/>
    <w:rsid w:val="008008C8"/>
    <w:rsid w:val="0080338C"/>
    <w:rsid w:val="0080776F"/>
    <w:rsid w:val="00807EF9"/>
    <w:rsid w:val="00810FCD"/>
    <w:rsid w:val="008110F2"/>
    <w:rsid w:val="008119E3"/>
    <w:rsid w:val="008127CD"/>
    <w:rsid w:val="008139E5"/>
    <w:rsid w:val="008144C5"/>
    <w:rsid w:val="00814924"/>
    <w:rsid w:val="00816B2B"/>
    <w:rsid w:val="00821F73"/>
    <w:rsid w:val="00824DBD"/>
    <w:rsid w:val="008252DC"/>
    <w:rsid w:val="00825EB2"/>
    <w:rsid w:val="00831DF0"/>
    <w:rsid w:val="008326F4"/>
    <w:rsid w:val="0083283C"/>
    <w:rsid w:val="00832CC7"/>
    <w:rsid w:val="00833DFB"/>
    <w:rsid w:val="00837495"/>
    <w:rsid w:val="00837E3F"/>
    <w:rsid w:val="0085043B"/>
    <w:rsid w:val="00852A46"/>
    <w:rsid w:val="008537F0"/>
    <w:rsid w:val="008556C0"/>
    <w:rsid w:val="00855A70"/>
    <w:rsid w:val="0085758C"/>
    <w:rsid w:val="0086039A"/>
    <w:rsid w:val="0086401D"/>
    <w:rsid w:val="00865C2F"/>
    <w:rsid w:val="00867F44"/>
    <w:rsid w:val="008701E2"/>
    <w:rsid w:val="00870276"/>
    <w:rsid w:val="0087049D"/>
    <w:rsid w:val="00870F78"/>
    <w:rsid w:val="00873320"/>
    <w:rsid w:val="008744DF"/>
    <w:rsid w:val="0087679A"/>
    <w:rsid w:val="00876D31"/>
    <w:rsid w:val="0088081B"/>
    <w:rsid w:val="00883EAB"/>
    <w:rsid w:val="00885FDC"/>
    <w:rsid w:val="00886973"/>
    <w:rsid w:val="008903AD"/>
    <w:rsid w:val="00896A8D"/>
    <w:rsid w:val="008A14E5"/>
    <w:rsid w:val="008A3D3B"/>
    <w:rsid w:val="008A5A7B"/>
    <w:rsid w:val="008B1D73"/>
    <w:rsid w:val="008B2D7F"/>
    <w:rsid w:val="008B6179"/>
    <w:rsid w:val="008B61A3"/>
    <w:rsid w:val="008B6974"/>
    <w:rsid w:val="008C20E2"/>
    <w:rsid w:val="008C35D8"/>
    <w:rsid w:val="008C4CE2"/>
    <w:rsid w:val="008C5829"/>
    <w:rsid w:val="008C6CC3"/>
    <w:rsid w:val="008D0282"/>
    <w:rsid w:val="008D4FE1"/>
    <w:rsid w:val="008D7491"/>
    <w:rsid w:val="008D761F"/>
    <w:rsid w:val="008D7F05"/>
    <w:rsid w:val="008E2D6F"/>
    <w:rsid w:val="008E37EC"/>
    <w:rsid w:val="008E3D47"/>
    <w:rsid w:val="008E4488"/>
    <w:rsid w:val="008E448B"/>
    <w:rsid w:val="008F034B"/>
    <w:rsid w:val="008F03AE"/>
    <w:rsid w:val="008F0679"/>
    <w:rsid w:val="008F1271"/>
    <w:rsid w:val="008F16C4"/>
    <w:rsid w:val="008F3AAA"/>
    <w:rsid w:val="008F3FBB"/>
    <w:rsid w:val="008F5105"/>
    <w:rsid w:val="008F716D"/>
    <w:rsid w:val="00904A35"/>
    <w:rsid w:val="009050BC"/>
    <w:rsid w:val="0090632D"/>
    <w:rsid w:val="009073F4"/>
    <w:rsid w:val="009073FE"/>
    <w:rsid w:val="00912CD6"/>
    <w:rsid w:val="0091544C"/>
    <w:rsid w:val="0091580D"/>
    <w:rsid w:val="00920429"/>
    <w:rsid w:val="00921D31"/>
    <w:rsid w:val="00922487"/>
    <w:rsid w:val="00923A7F"/>
    <w:rsid w:val="00925073"/>
    <w:rsid w:val="00927617"/>
    <w:rsid w:val="00930D4A"/>
    <w:rsid w:val="00931239"/>
    <w:rsid w:val="009321B7"/>
    <w:rsid w:val="00932A38"/>
    <w:rsid w:val="009335D7"/>
    <w:rsid w:val="00933EBA"/>
    <w:rsid w:val="009347CC"/>
    <w:rsid w:val="0093567D"/>
    <w:rsid w:val="0093600E"/>
    <w:rsid w:val="0093635C"/>
    <w:rsid w:val="00937306"/>
    <w:rsid w:val="0094037B"/>
    <w:rsid w:val="0094448C"/>
    <w:rsid w:val="00946099"/>
    <w:rsid w:val="00946DCD"/>
    <w:rsid w:val="009501FE"/>
    <w:rsid w:val="00950A1C"/>
    <w:rsid w:val="009516CA"/>
    <w:rsid w:val="009521E5"/>
    <w:rsid w:val="00960219"/>
    <w:rsid w:val="00960838"/>
    <w:rsid w:val="009617D8"/>
    <w:rsid w:val="00962D49"/>
    <w:rsid w:val="00962E87"/>
    <w:rsid w:val="00963BCB"/>
    <w:rsid w:val="00965149"/>
    <w:rsid w:val="009714AB"/>
    <w:rsid w:val="009723B3"/>
    <w:rsid w:val="00976FDA"/>
    <w:rsid w:val="009770AD"/>
    <w:rsid w:val="0098209B"/>
    <w:rsid w:val="00982814"/>
    <w:rsid w:val="0098723E"/>
    <w:rsid w:val="00987F1E"/>
    <w:rsid w:val="0099179D"/>
    <w:rsid w:val="00997580"/>
    <w:rsid w:val="009A0A15"/>
    <w:rsid w:val="009A17A4"/>
    <w:rsid w:val="009A2ED9"/>
    <w:rsid w:val="009A4863"/>
    <w:rsid w:val="009A51EA"/>
    <w:rsid w:val="009A5490"/>
    <w:rsid w:val="009A618B"/>
    <w:rsid w:val="009B1AF0"/>
    <w:rsid w:val="009B27F1"/>
    <w:rsid w:val="009B5BE2"/>
    <w:rsid w:val="009B6AE0"/>
    <w:rsid w:val="009C156B"/>
    <w:rsid w:val="009C307A"/>
    <w:rsid w:val="009C3FDD"/>
    <w:rsid w:val="009C404B"/>
    <w:rsid w:val="009C6D82"/>
    <w:rsid w:val="009D22A1"/>
    <w:rsid w:val="009D33B8"/>
    <w:rsid w:val="009D385F"/>
    <w:rsid w:val="009D5681"/>
    <w:rsid w:val="009D67E2"/>
    <w:rsid w:val="009D6BD1"/>
    <w:rsid w:val="009E3E37"/>
    <w:rsid w:val="009E403C"/>
    <w:rsid w:val="009F047D"/>
    <w:rsid w:val="009F113B"/>
    <w:rsid w:val="009F2426"/>
    <w:rsid w:val="009F3B9E"/>
    <w:rsid w:val="00A0048B"/>
    <w:rsid w:val="00A0676A"/>
    <w:rsid w:val="00A10BBA"/>
    <w:rsid w:val="00A15145"/>
    <w:rsid w:val="00A15924"/>
    <w:rsid w:val="00A16F2C"/>
    <w:rsid w:val="00A21C68"/>
    <w:rsid w:val="00A21F72"/>
    <w:rsid w:val="00A257C2"/>
    <w:rsid w:val="00A25F4B"/>
    <w:rsid w:val="00A26869"/>
    <w:rsid w:val="00A26C2A"/>
    <w:rsid w:val="00A27ECF"/>
    <w:rsid w:val="00A3182F"/>
    <w:rsid w:val="00A31F21"/>
    <w:rsid w:val="00A32E33"/>
    <w:rsid w:val="00A3476A"/>
    <w:rsid w:val="00A35ED3"/>
    <w:rsid w:val="00A36154"/>
    <w:rsid w:val="00A3683B"/>
    <w:rsid w:val="00A37599"/>
    <w:rsid w:val="00A40EAE"/>
    <w:rsid w:val="00A40FE6"/>
    <w:rsid w:val="00A42E3E"/>
    <w:rsid w:val="00A42EA2"/>
    <w:rsid w:val="00A431FB"/>
    <w:rsid w:val="00A434C7"/>
    <w:rsid w:val="00A4364A"/>
    <w:rsid w:val="00A43CF9"/>
    <w:rsid w:val="00A50EFC"/>
    <w:rsid w:val="00A5198C"/>
    <w:rsid w:val="00A53A69"/>
    <w:rsid w:val="00A54AF6"/>
    <w:rsid w:val="00A5731C"/>
    <w:rsid w:val="00A62305"/>
    <w:rsid w:val="00A62A14"/>
    <w:rsid w:val="00A62D42"/>
    <w:rsid w:val="00A62FB9"/>
    <w:rsid w:val="00A639B6"/>
    <w:rsid w:val="00A64C19"/>
    <w:rsid w:val="00A6530F"/>
    <w:rsid w:val="00A65793"/>
    <w:rsid w:val="00A66645"/>
    <w:rsid w:val="00A66686"/>
    <w:rsid w:val="00A67301"/>
    <w:rsid w:val="00A70698"/>
    <w:rsid w:val="00A75303"/>
    <w:rsid w:val="00A80C0B"/>
    <w:rsid w:val="00A81330"/>
    <w:rsid w:val="00A82838"/>
    <w:rsid w:val="00A82E6A"/>
    <w:rsid w:val="00A84EF4"/>
    <w:rsid w:val="00A8741D"/>
    <w:rsid w:val="00A9038C"/>
    <w:rsid w:val="00A91EA7"/>
    <w:rsid w:val="00A92C3D"/>
    <w:rsid w:val="00A96448"/>
    <w:rsid w:val="00AA045C"/>
    <w:rsid w:val="00AA1B3F"/>
    <w:rsid w:val="00AA5081"/>
    <w:rsid w:val="00AA68AF"/>
    <w:rsid w:val="00AA6CF5"/>
    <w:rsid w:val="00AB0E9A"/>
    <w:rsid w:val="00AB48C8"/>
    <w:rsid w:val="00AB522A"/>
    <w:rsid w:val="00AB7A81"/>
    <w:rsid w:val="00AC0AC4"/>
    <w:rsid w:val="00AC0E4A"/>
    <w:rsid w:val="00AC2EA4"/>
    <w:rsid w:val="00AC555D"/>
    <w:rsid w:val="00AC64AA"/>
    <w:rsid w:val="00AC7D40"/>
    <w:rsid w:val="00AD2195"/>
    <w:rsid w:val="00AD2C81"/>
    <w:rsid w:val="00AD3C9C"/>
    <w:rsid w:val="00AD67BB"/>
    <w:rsid w:val="00AD6E58"/>
    <w:rsid w:val="00AD74A8"/>
    <w:rsid w:val="00AD7884"/>
    <w:rsid w:val="00AD7D1A"/>
    <w:rsid w:val="00AE1D75"/>
    <w:rsid w:val="00AE2499"/>
    <w:rsid w:val="00AE4C10"/>
    <w:rsid w:val="00AE5225"/>
    <w:rsid w:val="00AE6ED3"/>
    <w:rsid w:val="00AF00B0"/>
    <w:rsid w:val="00AF46B4"/>
    <w:rsid w:val="00AF4E35"/>
    <w:rsid w:val="00AF4FCB"/>
    <w:rsid w:val="00AF75BD"/>
    <w:rsid w:val="00B0277D"/>
    <w:rsid w:val="00B03A71"/>
    <w:rsid w:val="00B0445B"/>
    <w:rsid w:val="00B04AB5"/>
    <w:rsid w:val="00B04D8B"/>
    <w:rsid w:val="00B04F98"/>
    <w:rsid w:val="00B064D2"/>
    <w:rsid w:val="00B1095B"/>
    <w:rsid w:val="00B1153A"/>
    <w:rsid w:val="00B15E1A"/>
    <w:rsid w:val="00B16B22"/>
    <w:rsid w:val="00B2031F"/>
    <w:rsid w:val="00B20926"/>
    <w:rsid w:val="00B20E8B"/>
    <w:rsid w:val="00B219BB"/>
    <w:rsid w:val="00B24D58"/>
    <w:rsid w:val="00B25304"/>
    <w:rsid w:val="00B26022"/>
    <w:rsid w:val="00B2739C"/>
    <w:rsid w:val="00B301E8"/>
    <w:rsid w:val="00B30407"/>
    <w:rsid w:val="00B3212B"/>
    <w:rsid w:val="00B329BA"/>
    <w:rsid w:val="00B32DD6"/>
    <w:rsid w:val="00B33CD3"/>
    <w:rsid w:val="00B34738"/>
    <w:rsid w:val="00B36725"/>
    <w:rsid w:val="00B36B7A"/>
    <w:rsid w:val="00B40C10"/>
    <w:rsid w:val="00B413A4"/>
    <w:rsid w:val="00B428E5"/>
    <w:rsid w:val="00B4481A"/>
    <w:rsid w:val="00B44D0B"/>
    <w:rsid w:val="00B46116"/>
    <w:rsid w:val="00B468D0"/>
    <w:rsid w:val="00B50268"/>
    <w:rsid w:val="00B52D17"/>
    <w:rsid w:val="00B53DF1"/>
    <w:rsid w:val="00B54EF7"/>
    <w:rsid w:val="00B5639B"/>
    <w:rsid w:val="00B60ACC"/>
    <w:rsid w:val="00B60F2F"/>
    <w:rsid w:val="00B611BF"/>
    <w:rsid w:val="00B64AD0"/>
    <w:rsid w:val="00B73F95"/>
    <w:rsid w:val="00B74F2E"/>
    <w:rsid w:val="00B756DD"/>
    <w:rsid w:val="00B77067"/>
    <w:rsid w:val="00B81AFF"/>
    <w:rsid w:val="00B82EA8"/>
    <w:rsid w:val="00B84913"/>
    <w:rsid w:val="00B8636B"/>
    <w:rsid w:val="00B94CAE"/>
    <w:rsid w:val="00B95843"/>
    <w:rsid w:val="00B959C7"/>
    <w:rsid w:val="00BA4F31"/>
    <w:rsid w:val="00BA75ED"/>
    <w:rsid w:val="00BA79AE"/>
    <w:rsid w:val="00BB27F2"/>
    <w:rsid w:val="00BC199B"/>
    <w:rsid w:val="00BC386A"/>
    <w:rsid w:val="00BC6E94"/>
    <w:rsid w:val="00BC76A1"/>
    <w:rsid w:val="00BD1A90"/>
    <w:rsid w:val="00BD55FE"/>
    <w:rsid w:val="00BD693D"/>
    <w:rsid w:val="00BE11EF"/>
    <w:rsid w:val="00BE4534"/>
    <w:rsid w:val="00BE647F"/>
    <w:rsid w:val="00BE64E7"/>
    <w:rsid w:val="00BF0BAB"/>
    <w:rsid w:val="00BF10A0"/>
    <w:rsid w:val="00BF2A6A"/>
    <w:rsid w:val="00BF2B6F"/>
    <w:rsid w:val="00BF4D1B"/>
    <w:rsid w:val="00BF74BD"/>
    <w:rsid w:val="00C0092F"/>
    <w:rsid w:val="00C01619"/>
    <w:rsid w:val="00C020AD"/>
    <w:rsid w:val="00C06937"/>
    <w:rsid w:val="00C1109B"/>
    <w:rsid w:val="00C11C81"/>
    <w:rsid w:val="00C13980"/>
    <w:rsid w:val="00C13B4B"/>
    <w:rsid w:val="00C15246"/>
    <w:rsid w:val="00C15517"/>
    <w:rsid w:val="00C17991"/>
    <w:rsid w:val="00C21C84"/>
    <w:rsid w:val="00C22307"/>
    <w:rsid w:val="00C240E3"/>
    <w:rsid w:val="00C269C1"/>
    <w:rsid w:val="00C3018D"/>
    <w:rsid w:val="00C33DEE"/>
    <w:rsid w:val="00C355C4"/>
    <w:rsid w:val="00C37F36"/>
    <w:rsid w:val="00C4083E"/>
    <w:rsid w:val="00C41646"/>
    <w:rsid w:val="00C42620"/>
    <w:rsid w:val="00C43441"/>
    <w:rsid w:val="00C456EF"/>
    <w:rsid w:val="00C46BC8"/>
    <w:rsid w:val="00C50517"/>
    <w:rsid w:val="00C50785"/>
    <w:rsid w:val="00C50E0E"/>
    <w:rsid w:val="00C535F2"/>
    <w:rsid w:val="00C53AA9"/>
    <w:rsid w:val="00C57698"/>
    <w:rsid w:val="00C613E2"/>
    <w:rsid w:val="00C61FDE"/>
    <w:rsid w:val="00C634A0"/>
    <w:rsid w:val="00C66A8A"/>
    <w:rsid w:val="00C66E1F"/>
    <w:rsid w:val="00C678CC"/>
    <w:rsid w:val="00C67A8C"/>
    <w:rsid w:val="00C711E0"/>
    <w:rsid w:val="00C7188E"/>
    <w:rsid w:val="00C76AD9"/>
    <w:rsid w:val="00C76B4B"/>
    <w:rsid w:val="00C775A7"/>
    <w:rsid w:val="00C77BEE"/>
    <w:rsid w:val="00C80B18"/>
    <w:rsid w:val="00C823B4"/>
    <w:rsid w:val="00C82C64"/>
    <w:rsid w:val="00C836B8"/>
    <w:rsid w:val="00C843C0"/>
    <w:rsid w:val="00C87048"/>
    <w:rsid w:val="00C9032C"/>
    <w:rsid w:val="00C920C6"/>
    <w:rsid w:val="00C95092"/>
    <w:rsid w:val="00C9525A"/>
    <w:rsid w:val="00C973BB"/>
    <w:rsid w:val="00C978E2"/>
    <w:rsid w:val="00CA1B22"/>
    <w:rsid w:val="00CA2C3E"/>
    <w:rsid w:val="00CA2CF7"/>
    <w:rsid w:val="00CA42CF"/>
    <w:rsid w:val="00CA47E6"/>
    <w:rsid w:val="00CA58CE"/>
    <w:rsid w:val="00CA5D41"/>
    <w:rsid w:val="00CA6A02"/>
    <w:rsid w:val="00CA7594"/>
    <w:rsid w:val="00CB334A"/>
    <w:rsid w:val="00CB47FB"/>
    <w:rsid w:val="00CB774A"/>
    <w:rsid w:val="00CC0BF8"/>
    <w:rsid w:val="00CC1490"/>
    <w:rsid w:val="00CC1D57"/>
    <w:rsid w:val="00CC220D"/>
    <w:rsid w:val="00CC44E2"/>
    <w:rsid w:val="00CC4AAE"/>
    <w:rsid w:val="00CC5E31"/>
    <w:rsid w:val="00CC6993"/>
    <w:rsid w:val="00CC7429"/>
    <w:rsid w:val="00CC757A"/>
    <w:rsid w:val="00CD1109"/>
    <w:rsid w:val="00CD25BE"/>
    <w:rsid w:val="00CE1D11"/>
    <w:rsid w:val="00CE6D9B"/>
    <w:rsid w:val="00CF0B63"/>
    <w:rsid w:val="00CF0BE4"/>
    <w:rsid w:val="00CF1A99"/>
    <w:rsid w:val="00CF22F7"/>
    <w:rsid w:val="00CF46B7"/>
    <w:rsid w:val="00CF47BC"/>
    <w:rsid w:val="00CF5610"/>
    <w:rsid w:val="00CF758A"/>
    <w:rsid w:val="00CF77F0"/>
    <w:rsid w:val="00CF78C0"/>
    <w:rsid w:val="00D010E8"/>
    <w:rsid w:val="00D01374"/>
    <w:rsid w:val="00D023C1"/>
    <w:rsid w:val="00D039F8"/>
    <w:rsid w:val="00D05BBB"/>
    <w:rsid w:val="00D05DFB"/>
    <w:rsid w:val="00D06EED"/>
    <w:rsid w:val="00D07C90"/>
    <w:rsid w:val="00D14FB4"/>
    <w:rsid w:val="00D1795B"/>
    <w:rsid w:val="00D2075A"/>
    <w:rsid w:val="00D21346"/>
    <w:rsid w:val="00D220DE"/>
    <w:rsid w:val="00D22761"/>
    <w:rsid w:val="00D2454C"/>
    <w:rsid w:val="00D25023"/>
    <w:rsid w:val="00D25218"/>
    <w:rsid w:val="00D2622D"/>
    <w:rsid w:val="00D268D4"/>
    <w:rsid w:val="00D26962"/>
    <w:rsid w:val="00D27FD4"/>
    <w:rsid w:val="00D311CA"/>
    <w:rsid w:val="00D336F5"/>
    <w:rsid w:val="00D3585A"/>
    <w:rsid w:val="00D45141"/>
    <w:rsid w:val="00D4782F"/>
    <w:rsid w:val="00D53A75"/>
    <w:rsid w:val="00D53E63"/>
    <w:rsid w:val="00D540BB"/>
    <w:rsid w:val="00D54D8D"/>
    <w:rsid w:val="00D57738"/>
    <w:rsid w:val="00D5779E"/>
    <w:rsid w:val="00D6335F"/>
    <w:rsid w:val="00D64E5C"/>
    <w:rsid w:val="00D6729D"/>
    <w:rsid w:val="00D7082F"/>
    <w:rsid w:val="00D7404C"/>
    <w:rsid w:val="00D755A3"/>
    <w:rsid w:val="00D7679E"/>
    <w:rsid w:val="00D767A8"/>
    <w:rsid w:val="00D76C34"/>
    <w:rsid w:val="00D8069D"/>
    <w:rsid w:val="00D81770"/>
    <w:rsid w:val="00D81C49"/>
    <w:rsid w:val="00D84120"/>
    <w:rsid w:val="00D84F22"/>
    <w:rsid w:val="00D85848"/>
    <w:rsid w:val="00D85D2D"/>
    <w:rsid w:val="00D86BA4"/>
    <w:rsid w:val="00D87274"/>
    <w:rsid w:val="00D87E1B"/>
    <w:rsid w:val="00D87EDB"/>
    <w:rsid w:val="00D92819"/>
    <w:rsid w:val="00D92B08"/>
    <w:rsid w:val="00D92CE0"/>
    <w:rsid w:val="00D93D3E"/>
    <w:rsid w:val="00D94864"/>
    <w:rsid w:val="00D94E6C"/>
    <w:rsid w:val="00D96B7E"/>
    <w:rsid w:val="00D976C0"/>
    <w:rsid w:val="00D97CDF"/>
    <w:rsid w:val="00DA4E95"/>
    <w:rsid w:val="00DA55BE"/>
    <w:rsid w:val="00DA5F15"/>
    <w:rsid w:val="00DA6B57"/>
    <w:rsid w:val="00DA7587"/>
    <w:rsid w:val="00DB2857"/>
    <w:rsid w:val="00DB76D4"/>
    <w:rsid w:val="00DB7FD1"/>
    <w:rsid w:val="00DC0BAC"/>
    <w:rsid w:val="00DC278B"/>
    <w:rsid w:val="00DC5822"/>
    <w:rsid w:val="00DC59D7"/>
    <w:rsid w:val="00DD15B6"/>
    <w:rsid w:val="00DD1E6F"/>
    <w:rsid w:val="00DD5F65"/>
    <w:rsid w:val="00DD6B4C"/>
    <w:rsid w:val="00DD74B2"/>
    <w:rsid w:val="00DE2818"/>
    <w:rsid w:val="00DE5F98"/>
    <w:rsid w:val="00DE6179"/>
    <w:rsid w:val="00DE799A"/>
    <w:rsid w:val="00DF3B6C"/>
    <w:rsid w:val="00DF3FB4"/>
    <w:rsid w:val="00DF42E2"/>
    <w:rsid w:val="00E0213B"/>
    <w:rsid w:val="00E03680"/>
    <w:rsid w:val="00E03D50"/>
    <w:rsid w:val="00E0497C"/>
    <w:rsid w:val="00E054B7"/>
    <w:rsid w:val="00E07C19"/>
    <w:rsid w:val="00E07D73"/>
    <w:rsid w:val="00E114FF"/>
    <w:rsid w:val="00E1180E"/>
    <w:rsid w:val="00E12686"/>
    <w:rsid w:val="00E12A11"/>
    <w:rsid w:val="00E14799"/>
    <w:rsid w:val="00E148CF"/>
    <w:rsid w:val="00E2442D"/>
    <w:rsid w:val="00E24450"/>
    <w:rsid w:val="00E2450F"/>
    <w:rsid w:val="00E25EC9"/>
    <w:rsid w:val="00E25F65"/>
    <w:rsid w:val="00E30039"/>
    <w:rsid w:val="00E338B6"/>
    <w:rsid w:val="00E357A1"/>
    <w:rsid w:val="00E358C7"/>
    <w:rsid w:val="00E37A18"/>
    <w:rsid w:val="00E37F91"/>
    <w:rsid w:val="00E40493"/>
    <w:rsid w:val="00E428A4"/>
    <w:rsid w:val="00E42E4C"/>
    <w:rsid w:val="00E508AF"/>
    <w:rsid w:val="00E5104C"/>
    <w:rsid w:val="00E51288"/>
    <w:rsid w:val="00E51AE8"/>
    <w:rsid w:val="00E51B67"/>
    <w:rsid w:val="00E53334"/>
    <w:rsid w:val="00E53A96"/>
    <w:rsid w:val="00E53F77"/>
    <w:rsid w:val="00E540AA"/>
    <w:rsid w:val="00E5426A"/>
    <w:rsid w:val="00E54271"/>
    <w:rsid w:val="00E5437E"/>
    <w:rsid w:val="00E546B9"/>
    <w:rsid w:val="00E5581B"/>
    <w:rsid w:val="00E56C16"/>
    <w:rsid w:val="00E57642"/>
    <w:rsid w:val="00E6242C"/>
    <w:rsid w:val="00E64B8C"/>
    <w:rsid w:val="00E65B13"/>
    <w:rsid w:val="00E67179"/>
    <w:rsid w:val="00E67BB1"/>
    <w:rsid w:val="00E70A4C"/>
    <w:rsid w:val="00E72CD1"/>
    <w:rsid w:val="00E74E98"/>
    <w:rsid w:val="00E771F3"/>
    <w:rsid w:val="00E7727B"/>
    <w:rsid w:val="00E80308"/>
    <w:rsid w:val="00E80998"/>
    <w:rsid w:val="00E813DB"/>
    <w:rsid w:val="00E817C7"/>
    <w:rsid w:val="00E81FC2"/>
    <w:rsid w:val="00E87AE9"/>
    <w:rsid w:val="00E90857"/>
    <w:rsid w:val="00E91332"/>
    <w:rsid w:val="00E938B0"/>
    <w:rsid w:val="00E9695D"/>
    <w:rsid w:val="00E96DDF"/>
    <w:rsid w:val="00EA0AE1"/>
    <w:rsid w:val="00EA1E2D"/>
    <w:rsid w:val="00EA3803"/>
    <w:rsid w:val="00EA4141"/>
    <w:rsid w:val="00EA4FB3"/>
    <w:rsid w:val="00EA507C"/>
    <w:rsid w:val="00EA5CA2"/>
    <w:rsid w:val="00EB153F"/>
    <w:rsid w:val="00EB4782"/>
    <w:rsid w:val="00EB74A1"/>
    <w:rsid w:val="00EB7EBF"/>
    <w:rsid w:val="00EC0808"/>
    <w:rsid w:val="00EC0BBC"/>
    <w:rsid w:val="00EC4ED4"/>
    <w:rsid w:val="00EC72DD"/>
    <w:rsid w:val="00ED73EC"/>
    <w:rsid w:val="00ED748C"/>
    <w:rsid w:val="00ED788C"/>
    <w:rsid w:val="00EE0A39"/>
    <w:rsid w:val="00EE1CAD"/>
    <w:rsid w:val="00EE1FA0"/>
    <w:rsid w:val="00EE3693"/>
    <w:rsid w:val="00EE4BCA"/>
    <w:rsid w:val="00EE4F7C"/>
    <w:rsid w:val="00EE60E1"/>
    <w:rsid w:val="00EE6784"/>
    <w:rsid w:val="00EE7DFB"/>
    <w:rsid w:val="00EF407C"/>
    <w:rsid w:val="00EF5502"/>
    <w:rsid w:val="00EF7C30"/>
    <w:rsid w:val="00F03B20"/>
    <w:rsid w:val="00F053EC"/>
    <w:rsid w:val="00F0660F"/>
    <w:rsid w:val="00F0732B"/>
    <w:rsid w:val="00F10DB1"/>
    <w:rsid w:val="00F16ABF"/>
    <w:rsid w:val="00F16DE9"/>
    <w:rsid w:val="00F205B3"/>
    <w:rsid w:val="00F20D2F"/>
    <w:rsid w:val="00F22116"/>
    <w:rsid w:val="00F23208"/>
    <w:rsid w:val="00F24502"/>
    <w:rsid w:val="00F24AE8"/>
    <w:rsid w:val="00F25E1D"/>
    <w:rsid w:val="00F26DF1"/>
    <w:rsid w:val="00F30B56"/>
    <w:rsid w:val="00F315ED"/>
    <w:rsid w:val="00F32036"/>
    <w:rsid w:val="00F37B88"/>
    <w:rsid w:val="00F37D3F"/>
    <w:rsid w:val="00F41367"/>
    <w:rsid w:val="00F47003"/>
    <w:rsid w:val="00F475F4"/>
    <w:rsid w:val="00F47B80"/>
    <w:rsid w:val="00F504F0"/>
    <w:rsid w:val="00F522B2"/>
    <w:rsid w:val="00F548AA"/>
    <w:rsid w:val="00F57017"/>
    <w:rsid w:val="00F579FA"/>
    <w:rsid w:val="00F6219C"/>
    <w:rsid w:val="00F70720"/>
    <w:rsid w:val="00F77896"/>
    <w:rsid w:val="00F77E41"/>
    <w:rsid w:val="00F807DE"/>
    <w:rsid w:val="00F87D6D"/>
    <w:rsid w:val="00F9115C"/>
    <w:rsid w:val="00F91303"/>
    <w:rsid w:val="00F91FD3"/>
    <w:rsid w:val="00F92646"/>
    <w:rsid w:val="00F92FAA"/>
    <w:rsid w:val="00F938D8"/>
    <w:rsid w:val="00F942AD"/>
    <w:rsid w:val="00F94A8B"/>
    <w:rsid w:val="00FA3326"/>
    <w:rsid w:val="00FA5FDF"/>
    <w:rsid w:val="00FA6F32"/>
    <w:rsid w:val="00FA72A0"/>
    <w:rsid w:val="00FA7994"/>
    <w:rsid w:val="00FB0A8A"/>
    <w:rsid w:val="00FB1782"/>
    <w:rsid w:val="00FB1DAE"/>
    <w:rsid w:val="00FB3057"/>
    <w:rsid w:val="00FB33E2"/>
    <w:rsid w:val="00FB4BA2"/>
    <w:rsid w:val="00FB726C"/>
    <w:rsid w:val="00FC0E09"/>
    <w:rsid w:val="00FC3474"/>
    <w:rsid w:val="00FC605F"/>
    <w:rsid w:val="00FC7909"/>
    <w:rsid w:val="00FC7C8F"/>
    <w:rsid w:val="00FD0B28"/>
    <w:rsid w:val="00FD2B0A"/>
    <w:rsid w:val="00FD4CF6"/>
    <w:rsid w:val="00FD4EFA"/>
    <w:rsid w:val="00FD635C"/>
    <w:rsid w:val="00FD657D"/>
    <w:rsid w:val="00FD6E93"/>
    <w:rsid w:val="00FE1782"/>
    <w:rsid w:val="00FE6A8F"/>
    <w:rsid w:val="00FF0C52"/>
    <w:rsid w:val="00FF41CC"/>
    <w:rsid w:val="00FF63B8"/>
    <w:rsid w:val="00FF70EE"/>
    <w:rsid w:val="00FF77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E0E8"/>
  <w14:defaultImageDpi w14:val="32767"/>
  <w15:chartTrackingRefBased/>
  <w15:docId w15:val="{415585B8-4078-9341-9864-B0DE94BD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1367"/>
    <w:rPr>
      <w:rFonts w:ascii="Times New Roman" w:eastAsia="Times New Roman" w:hAnsi="Times New Roman" w:cs="Times New Roman"/>
      <w:lang w:val="fr-BE" w:eastAsia="fr-FR"/>
    </w:rPr>
  </w:style>
  <w:style w:type="paragraph" w:styleId="Titre1">
    <w:name w:val="heading 1"/>
    <w:basedOn w:val="Normal"/>
    <w:next w:val="Normal"/>
    <w:link w:val="Titre1Car"/>
    <w:uiPriority w:val="9"/>
    <w:qFormat/>
    <w:rsid w:val="003B05E7"/>
    <w:pPr>
      <w:keepNext/>
      <w:keepLines/>
      <w:spacing w:before="240"/>
      <w:outlineLvl w:val="0"/>
    </w:pPr>
    <w:rPr>
      <w:rFonts w:asciiTheme="majorHAnsi" w:eastAsiaTheme="majorEastAsia" w:hAnsiTheme="majorHAnsi" w:cstheme="majorBidi"/>
      <w:color w:val="2F5496" w:themeColor="accent1" w:themeShade="BF"/>
      <w:sz w:val="32"/>
      <w:szCs w:val="32"/>
      <w:lang w:val="fr-FR" w:eastAsia="en-US"/>
    </w:rPr>
  </w:style>
  <w:style w:type="paragraph" w:styleId="Titre2">
    <w:name w:val="heading 2"/>
    <w:basedOn w:val="Normal"/>
    <w:next w:val="Normal"/>
    <w:link w:val="Titre2Car"/>
    <w:uiPriority w:val="9"/>
    <w:unhideWhenUsed/>
    <w:qFormat/>
    <w:rsid w:val="00727F0B"/>
    <w:pPr>
      <w:keepNext/>
      <w:keepLines/>
      <w:spacing w:before="40"/>
      <w:outlineLvl w:val="1"/>
    </w:pPr>
    <w:rPr>
      <w:rFonts w:asciiTheme="majorHAnsi" w:eastAsiaTheme="majorEastAsia" w:hAnsiTheme="majorHAnsi" w:cstheme="majorBidi"/>
      <w:color w:val="2F5496" w:themeColor="accent1" w:themeShade="BF"/>
      <w:sz w:val="26"/>
      <w:szCs w:val="26"/>
      <w:lang w:val="fr-FR" w:eastAsia="en-US"/>
    </w:rPr>
  </w:style>
  <w:style w:type="paragraph" w:styleId="Titre3">
    <w:name w:val="heading 3"/>
    <w:basedOn w:val="Normal"/>
    <w:next w:val="Normal"/>
    <w:link w:val="Titre3Car"/>
    <w:uiPriority w:val="9"/>
    <w:unhideWhenUsed/>
    <w:qFormat/>
    <w:rsid w:val="00CF22F7"/>
    <w:pPr>
      <w:keepNext/>
      <w:keepLines/>
      <w:spacing w:before="40"/>
      <w:outlineLvl w:val="2"/>
    </w:pPr>
    <w:rPr>
      <w:rFonts w:asciiTheme="majorHAnsi" w:eastAsiaTheme="majorEastAsia" w:hAnsiTheme="majorHAnsi" w:cstheme="majorBidi"/>
      <w:color w:val="1F3763" w:themeColor="accent1" w:themeShade="7F"/>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05E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727F0B"/>
    <w:rPr>
      <w:rFonts w:asciiTheme="majorHAnsi" w:eastAsiaTheme="majorEastAsia" w:hAnsiTheme="majorHAnsi" w:cstheme="majorBidi"/>
      <w:color w:val="2F5496" w:themeColor="accent1" w:themeShade="BF"/>
      <w:sz w:val="26"/>
      <w:szCs w:val="26"/>
    </w:rPr>
  </w:style>
  <w:style w:type="paragraph" w:styleId="Pieddepage">
    <w:name w:val="footer"/>
    <w:basedOn w:val="Normal"/>
    <w:link w:val="PieddepageCar"/>
    <w:uiPriority w:val="99"/>
    <w:unhideWhenUsed/>
    <w:rsid w:val="003F10ED"/>
    <w:pPr>
      <w:tabs>
        <w:tab w:val="center" w:pos="4536"/>
        <w:tab w:val="right" w:pos="9072"/>
      </w:tabs>
    </w:pPr>
    <w:rPr>
      <w:rFonts w:asciiTheme="minorHAnsi" w:eastAsiaTheme="minorHAnsi" w:hAnsiTheme="minorHAnsi" w:cstheme="minorBidi"/>
      <w:lang w:val="fr-FR" w:eastAsia="en-US"/>
    </w:rPr>
  </w:style>
  <w:style w:type="character" w:customStyle="1" w:styleId="PieddepageCar">
    <w:name w:val="Pied de page Car"/>
    <w:basedOn w:val="Policepardfaut"/>
    <w:link w:val="Pieddepage"/>
    <w:uiPriority w:val="99"/>
    <w:rsid w:val="003F10ED"/>
  </w:style>
  <w:style w:type="character" w:styleId="Numrodepage">
    <w:name w:val="page number"/>
    <w:basedOn w:val="Policepardfaut"/>
    <w:uiPriority w:val="99"/>
    <w:semiHidden/>
    <w:unhideWhenUsed/>
    <w:rsid w:val="003F10ED"/>
  </w:style>
  <w:style w:type="character" w:styleId="lev">
    <w:name w:val="Strong"/>
    <w:basedOn w:val="Policepardfaut"/>
    <w:uiPriority w:val="22"/>
    <w:qFormat/>
    <w:rsid w:val="009C6D82"/>
    <w:rPr>
      <w:b/>
      <w:bCs/>
    </w:rPr>
  </w:style>
  <w:style w:type="character" w:customStyle="1" w:styleId="Titre3Car">
    <w:name w:val="Titre 3 Car"/>
    <w:basedOn w:val="Policepardfaut"/>
    <w:link w:val="Titre3"/>
    <w:uiPriority w:val="9"/>
    <w:rsid w:val="00CF22F7"/>
    <w:rPr>
      <w:rFonts w:asciiTheme="majorHAnsi" w:eastAsiaTheme="majorEastAsia" w:hAnsiTheme="majorHAnsi" w:cstheme="majorBidi"/>
      <w:color w:val="1F3763" w:themeColor="accent1" w:themeShade="7F"/>
    </w:rPr>
  </w:style>
  <w:style w:type="paragraph" w:styleId="Notedebasdepage">
    <w:name w:val="footnote text"/>
    <w:basedOn w:val="Normal"/>
    <w:link w:val="NotedebasdepageCar"/>
    <w:uiPriority w:val="99"/>
    <w:semiHidden/>
    <w:unhideWhenUsed/>
    <w:rsid w:val="00A64C19"/>
    <w:rPr>
      <w:rFonts w:asciiTheme="minorHAnsi" w:eastAsiaTheme="minorHAnsi" w:hAnsiTheme="minorHAnsi" w:cstheme="minorBidi"/>
      <w:sz w:val="20"/>
      <w:szCs w:val="20"/>
      <w:lang w:val="fr-FR" w:eastAsia="en-US"/>
    </w:rPr>
  </w:style>
  <w:style w:type="character" w:customStyle="1" w:styleId="NotedebasdepageCar">
    <w:name w:val="Note de bas de page Car"/>
    <w:basedOn w:val="Policepardfaut"/>
    <w:link w:val="Notedebasdepage"/>
    <w:uiPriority w:val="99"/>
    <w:semiHidden/>
    <w:rsid w:val="00A64C19"/>
    <w:rPr>
      <w:sz w:val="20"/>
      <w:szCs w:val="20"/>
    </w:rPr>
  </w:style>
  <w:style w:type="character" w:styleId="Appelnotedebasdep">
    <w:name w:val="footnote reference"/>
    <w:basedOn w:val="Policepardfaut"/>
    <w:uiPriority w:val="99"/>
    <w:semiHidden/>
    <w:unhideWhenUsed/>
    <w:rsid w:val="00A64C19"/>
    <w:rPr>
      <w:vertAlign w:val="superscript"/>
    </w:rPr>
  </w:style>
  <w:style w:type="character" w:customStyle="1" w:styleId="apple-converted-space">
    <w:name w:val="apple-converted-space"/>
    <w:basedOn w:val="Policepardfaut"/>
    <w:rsid w:val="0043331F"/>
  </w:style>
  <w:style w:type="character" w:styleId="Lienhypertexte">
    <w:name w:val="Hyperlink"/>
    <w:basedOn w:val="Policepardfaut"/>
    <w:uiPriority w:val="99"/>
    <w:unhideWhenUsed/>
    <w:rsid w:val="00E508AF"/>
    <w:rPr>
      <w:color w:val="0563C1" w:themeColor="hyperlink"/>
      <w:u w:val="single"/>
    </w:rPr>
  </w:style>
  <w:style w:type="character" w:styleId="Mentionnonrsolue">
    <w:name w:val="Unresolved Mention"/>
    <w:basedOn w:val="Policepardfaut"/>
    <w:uiPriority w:val="99"/>
    <w:rsid w:val="00E508AF"/>
    <w:rPr>
      <w:color w:val="605E5C"/>
      <w:shd w:val="clear" w:color="auto" w:fill="E1DFDD"/>
    </w:rPr>
  </w:style>
  <w:style w:type="character" w:styleId="Accentuation">
    <w:name w:val="Emphasis"/>
    <w:basedOn w:val="Policepardfaut"/>
    <w:uiPriority w:val="20"/>
    <w:qFormat/>
    <w:rsid w:val="00332C4C"/>
    <w:rPr>
      <w:i/>
      <w:iCs/>
    </w:rPr>
  </w:style>
  <w:style w:type="character" w:customStyle="1" w:styleId="normal10">
    <w:name w:val="normal10"/>
    <w:basedOn w:val="Policepardfaut"/>
    <w:rsid w:val="00746274"/>
  </w:style>
  <w:style w:type="paragraph" w:styleId="NormalWeb">
    <w:name w:val="Normal (Web)"/>
    <w:basedOn w:val="Normal"/>
    <w:uiPriority w:val="99"/>
    <w:unhideWhenUsed/>
    <w:rsid w:val="0003670C"/>
    <w:pPr>
      <w:spacing w:before="100" w:beforeAutospacing="1" w:after="100" w:afterAutospacing="1"/>
    </w:pPr>
  </w:style>
  <w:style w:type="character" w:styleId="Marquedecommentaire">
    <w:name w:val="annotation reference"/>
    <w:basedOn w:val="Policepardfaut"/>
    <w:uiPriority w:val="99"/>
    <w:semiHidden/>
    <w:unhideWhenUsed/>
    <w:rsid w:val="00E56C16"/>
    <w:rPr>
      <w:sz w:val="16"/>
      <w:szCs w:val="16"/>
    </w:rPr>
  </w:style>
  <w:style w:type="paragraph" w:styleId="Commentaire">
    <w:name w:val="annotation text"/>
    <w:basedOn w:val="Normal"/>
    <w:link w:val="CommentaireCar"/>
    <w:uiPriority w:val="99"/>
    <w:unhideWhenUsed/>
    <w:rsid w:val="00E56C16"/>
    <w:rPr>
      <w:rFonts w:asciiTheme="minorHAnsi" w:eastAsiaTheme="minorHAnsi" w:hAnsiTheme="minorHAnsi" w:cstheme="minorBidi"/>
      <w:sz w:val="20"/>
      <w:szCs w:val="20"/>
      <w:lang w:val="fr-FR" w:eastAsia="en-US"/>
    </w:rPr>
  </w:style>
  <w:style w:type="character" w:customStyle="1" w:styleId="CommentaireCar">
    <w:name w:val="Commentaire Car"/>
    <w:basedOn w:val="Policepardfaut"/>
    <w:link w:val="Commentaire"/>
    <w:uiPriority w:val="99"/>
    <w:rsid w:val="00E56C16"/>
    <w:rPr>
      <w:sz w:val="20"/>
      <w:szCs w:val="20"/>
    </w:rPr>
  </w:style>
  <w:style w:type="paragraph" w:styleId="Objetducommentaire">
    <w:name w:val="annotation subject"/>
    <w:basedOn w:val="Commentaire"/>
    <w:next w:val="Commentaire"/>
    <w:link w:val="ObjetducommentaireCar"/>
    <w:uiPriority w:val="99"/>
    <w:semiHidden/>
    <w:unhideWhenUsed/>
    <w:rsid w:val="00E56C16"/>
    <w:rPr>
      <w:b/>
      <w:bCs/>
    </w:rPr>
  </w:style>
  <w:style w:type="character" w:customStyle="1" w:styleId="ObjetducommentaireCar">
    <w:name w:val="Objet du commentaire Car"/>
    <w:basedOn w:val="CommentaireCar"/>
    <w:link w:val="Objetducommentaire"/>
    <w:uiPriority w:val="99"/>
    <w:semiHidden/>
    <w:rsid w:val="00E56C16"/>
    <w:rPr>
      <w:b/>
      <w:bCs/>
      <w:sz w:val="20"/>
      <w:szCs w:val="20"/>
    </w:rPr>
  </w:style>
  <w:style w:type="paragraph" w:styleId="Rvision">
    <w:name w:val="Revision"/>
    <w:hidden/>
    <w:uiPriority w:val="99"/>
    <w:semiHidden/>
    <w:rsid w:val="00E56C16"/>
  </w:style>
  <w:style w:type="paragraph" w:styleId="Textedebulles">
    <w:name w:val="Balloon Text"/>
    <w:basedOn w:val="Normal"/>
    <w:link w:val="TextedebullesCar"/>
    <w:uiPriority w:val="99"/>
    <w:semiHidden/>
    <w:unhideWhenUsed/>
    <w:rsid w:val="00E56C16"/>
    <w:rPr>
      <w:rFonts w:eastAsiaTheme="minorHAnsi"/>
      <w:sz w:val="18"/>
      <w:szCs w:val="18"/>
      <w:lang w:val="fr-FR" w:eastAsia="en-US"/>
    </w:rPr>
  </w:style>
  <w:style w:type="character" w:customStyle="1" w:styleId="TextedebullesCar">
    <w:name w:val="Texte de bulles Car"/>
    <w:basedOn w:val="Policepardfaut"/>
    <w:link w:val="Textedebulles"/>
    <w:uiPriority w:val="99"/>
    <w:semiHidden/>
    <w:rsid w:val="00E56C16"/>
    <w:rPr>
      <w:rFonts w:ascii="Times New Roman" w:hAnsi="Times New Roman" w:cs="Times New Roman"/>
      <w:sz w:val="18"/>
      <w:szCs w:val="18"/>
    </w:rPr>
  </w:style>
  <w:style w:type="character" w:customStyle="1" w:styleId="contentline-545">
    <w:name w:val="contentline-545"/>
    <w:basedOn w:val="Policepardfaut"/>
    <w:rsid w:val="00AC0AC4"/>
  </w:style>
  <w:style w:type="character" w:customStyle="1" w:styleId="copylink-236">
    <w:name w:val="copylink-236"/>
    <w:basedOn w:val="Policepardfaut"/>
    <w:rsid w:val="00AC0AC4"/>
  </w:style>
  <w:style w:type="paragraph" w:customStyle="1" w:styleId="Default">
    <w:name w:val="Default"/>
    <w:rsid w:val="00296FE6"/>
    <w:pPr>
      <w:autoSpaceDE w:val="0"/>
      <w:autoSpaceDN w:val="0"/>
      <w:adjustRightInd w:val="0"/>
    </w:pPr>
    <w:rPr>
      <w:rFonts w:ascii="Times New Roman" w:hAnsi="Times New Roman" w:cs="Times New Roman"/>
      <w:color w:val="000000"/>
    </w:rPr>
  </w:style>
  <w:style w:type="paragraph" w:styleId="Paragraphedeliste">
    <w:name w:val="List Paragraph"/>
    <w:basedOn w:val="Normal"/>
    <w:uiPriority w:val="34"/>
    <w:qFormat/>
    <w:rsid w:val="007C7266"/>
    <w:pPr>
      <w:ind w:left="720"/>
      <w:contextualSpacing/>
    </w:pPr>
  </w:style>
  <w:style w:type="paragraph" w:styleId="En-tte">
    <w:name w:val="header"/>
    <w:basedOn w:val="Normal"/>
    <w:link w:val="En-tteCar"/>
    <w:uiPriority w:val="99"/>
    <w:unhideWhenUsed/>
    <w:rsid w:val="00C711E0"/>
    <w:pPr>
      <w:tabs>
        <w:tab w:val="center" w:pos="4536"/>
        <w:tab w:val="right" w:pos="9072"/>
      </w:tabs>
    </w:pPr>
  </w:style>
  <w:style w:type="character" w:customStyle="1" w:styleId="En-tteCar">
    <w:name w:val="En-tête Car"/>
    <w:basedOn w:val="Policepardfaut"/>
    <w:link w:val="En-tte"/>
    <w:uiPriority w:val="99"/>
    <w:rsid w:val="00C711E0"/>
    <w:rPr>
      <w:rFonts w:ascii="Times New Roman" w:eastAsia="Times New Roman" w:hAnsi="Times New Roman" w:cs="Times New Roman"/>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2956">
      <w:bodyDiv w:val="1"/>
      <w:marLeft w:val="0"/>
      <w:marRight w:val="0"/>
      <w:marTop w:val="0"/>
      <w:marBottom w:val="0"/>
      <w:divBdr>
        <w:top w:val="none" w:sz="0" w:space="0" w:color="auto"/>
        <w:left w:val="none" w:sz="0" w:space="0" w:color="auto"/>
        <w:bottom w:val="none" w:sz="0" w:space="0" w:color="auto"/>
        <w:right w:val="none" w:sz="0" w:space="0" w:color="auto"/>
      </w:divBdr>
    </w:div>
    <w:div w:id="32124795">
      <w:bodyDiv w:val="1"/>
      <w:marLeft w:val="0"/>
      <w:marRight w:val="0"/>
      <w:marTop w:val="0"/>
      <w:marBottom w:val="0"/>
      <w:divBdr>
        <w:top w:val="none" w:sz="0" w:space="0" w:color="auto"/>
        <w:left w:val="none" w:sz="0" w:space="0" w:color="auto"/>
        <w:bottom w:val="none" w:sz="0" w:space="0" w:color="auto"/>
        <w:right w:val="none" w:sz="0" w:space="0" w:color="auto"/>
      </w:divBdr>
    </w:div>
    <w:div w:id="72168100">
      <w:bodyDiv w:val="1"/>
      <w:marLeft w:val="0"/>
      <w:marRight w:val="0"/>
      <w:marTop w:val="0"/>
      <w:marBottom w:val="0"/>
      <w:divBdr>
        <w:top w:val="none" w:sz="0" w:space="0" w:color="auto"/>
        <w:left w:val="none" w:sz="0" w:space="0" w:color="auto"/>
        <w:bottom w:val="none" w:sz="0" w:space="0" w:color="auto"/>
        <w:right w:val="none" w:sz="0" w:space="0" w:color="auto"/>
      </w:divBdr>
    </w:div>
    <w:div w:id="119038386">
      <w:bodyDiv w:val="1"/>
      <w:marLeft w:val="0"/>
      <w:marRight w:val="0"/>
      <w:marTop w:val="0"/>
      <w:marBottom w:val="0"/>
      <w:divBdr>
        <w:top w:val="none" w:sz="0" w:space="0" w:color="auto"/>
        <w:left w:val="none" w:sz="0" w:space="0" w:color="auto"/>
        <w:bottom w:val="none" w:sz="0" w:space="0" w:color="auto"/>
        <w:right w:val="none" w:sz="0" w:space="0" w:color="auto"/>
      </w:divBdr>
    </w:div>
    <w:div w:id="131023904">
      <w:bodyDiv w:val="1"/>
      <w:marLeft w:val="0"/>
      <w:marRight w:val="0"/>
      <w:marTop w:val="0"/>
      <w:marBottom w:val="0"/>
      <w:divBdr>
        <w:top w:val="none" w:sz="0" w:space="0" w:color="auto"/>
        <w:left w:val="none" w:sz="0" w:space="0" w:color="auto"/>
        <w:bottom w:val="none" w:sz="0" w:space="0" w:color="auto"/>
        <w:right w:val="none" w:sz="0" w:space="0" w:color="auto"/>
      </w:divBdr>
      <w:divsChild>
        <w:div w:id="672730063">
          <w:marLeft w:val="0"/>
          <w:marRight w:val="0"/>
          <w:marTop w:val="0"/>
          <w:marBottom w:val="0"/>
          <w:divBdr>
            <w:top w:val="none" w:sz="0" w:space="0" w:color="auto"/>
            <w:left w:val="none" w:sz="0" w:space="0" w:color="auto"/>
            <w:bottom w:val="none" w:sz="0" w:space="0" w:color="auto"/>
            <w:right w:val="none" w:sz="0" w:space="0" w:color="auto"/>
          </w:divBdr>
          <w:divsChild>
            <w:div w:id="2008557652">
              <w:marLeft w:val="0"/>
              <w:marRight w:val="0"/>
              <w:marTop w:val="0"/>
              <w:marBottom w:val="0"/>
              <w:divBdr>
                <w:top w:val="none" w:sz="0" w:space="0" w:color="auto"/>
                <w:left w:val="none" w:sz="0" w:space="0" w:color="auto"/>
                <w:bottom w:val="none" w:sz="0" w:space="0" w:color="auto"/>
                <w:right w:val="none" w:sz="0" w:space="0" w:color="auto"/>
              </w:divBdr>
              <w:divsChild>
                <w:div w:id="17161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4380">
      <w:bodyDiv w:val="1"/>
      <w:marLeft w:val="0"/>
      <w:marRight w:val="0"/>
      <w:marTop w:val="0"/>
      <w:marBottom w:val="0"/>
      <w:divBdr>
        <w:top w:val="none" w:sz="0" w:space="0" w:color="auto"/>
        <w:left w:val="none" w:sz="0" w:space="0" w:color="auto"/>
        <w:bottom w:val="none" w:sz="0" w:space="0" w:color="auto"/>
        <w:right w:val="none" w:sz="0" w:space="0" w:color="auto"/>
      </w:divBdr>
    </w:div>
    <w:div w:id="186450815">
      <w:bodyDiv w:val="1"/>
      <w:marLeft w:val="0"/>
      <w:marRight w:val="0"/>
      <w:marTop w:val="0"/>
      <w:marBottom w:val="0"/>
      <w:divBdr>
        <w:top w:val="none" w:sz="0" w:space="0" w:color="auto"/>
        <w:left w:val="none" w:sz="0" w:space="0" w:color="auto"/>
        <w:bottom w:val="none" w:sz="0" w:space="0" w:color="auto"/>
        <w:right w:val="none" w:sz="0" w:space="0" w:color="auto"/>
      </w:divBdr>
    </w:div>
    <w:div w:id="265619351">
      <w:bodyDiv w:val="1"/>
      <w:marLeft w:val="0"/>
      <w:marRight w:val="0"/>
      <w:marTop w:val="0"/>
      <w:marBottom w:val="0"/>
      <w:divBdr>
        <w:top w:val="none" w:sz="0" w:space="0" w:color="auto"/>
        <w:left w:val="none" w:sz="0" w:space="0" w:color="auto"/>
        <w:bottom w:val="none" w:sz="0" w:space="0" w:color="auto"/>
        <w:right w:val="none" w:sz="0" w:space="0" w:color="auto"/>
      </w:divBdr>
    </w:div>
    <w:div w:id="277569681">
      <w:bodyDiv w:val="1"/>
      <w:marLeft w:val="0"/>
      <w:marRight w:val="0"/>
      <w:marTop w:val="0"/>
      <w:marBottom w:val="0"/>
      <w:divBdr>
        <w:top w:val="none" w:sz="0" w:space="0" w:color="auto"/>
        <w:left w:val="none" w:sz="0" w:space="0" w:color="auto"/>
        <w:bottom w:val="none" w:sz="0" w:space="0" w:color="auto"/>
        <w:right w:val="none" w:sz="0" w:space="0" w:color="auto"/>
      </w:divBdr>
    </w:div>
    <w:div w:id="299117807">
      <w:bodyDiv w:val="1"/>
      <w:marLeft w:val="0"/>
      <w:marRight w:val="0"/>
      <w:marTop w:val="0"/>
      <w:marBottom w:val="0"/>
      <w:divBdr>
        <w:top w:val="none" w:sz="0" w:space="0" w:color="auto"/>
        <w:left w:val="none" w:sz="0" w:space="0" w:color="auto"/>
        <w:bottom w:val="none" w:sz="0" w:space="0" w:color="auto"/>
        <w:right w:val="none" w:sz="0" w:space="0" w:color="auto"/>
      </w:divBdr>
      <w:divsChild>
        <w:div w:id="1476339445">
          <w:marLeft w:val="0"/>
          <w:marRight w:val="0"/>
          <w:marTop w:val="0"/>
          <w:marBottom w:val="0"/>
          <w:divBdr>
            <w:top w:val="none" w:sz="0" w:space="0" w:color="auto"/>
            <w:left w:val="none" w:sz="0" w:space="0" w:color="auto"/>
            <w:bottom w:val="none" w:sz="0" w:space="0" w:color="auto"/>
            <w:right w:val="none" w:sz="0" w:space="0" w:color="auto"/>
          </w:divBdr>
          <w:divsChild>
            <w:div w:id="1213075753">
              <w:marLeft w:val="0"/>
              <w:marRight w:val="0"/>
              <w:marTop w:val="0"/>
              <w:marBottom w:val="0"/>
              <w:divBdr>
                <w:top w:val="none" w:sz="0" w:space="0" w:color="auto"/>
                <w:left w:val="none" w:sz="0" w:space="0" w:color="auto"/>
                <w:bottom w:val="none" w:sz="0" w:space="0" w:color="auto"/>
                <w:right w:val="none" w:sz="0" w:space="0" w:color="auto"/>
              </w:divBdr>
              <w:divsChild>
                <w:div w:id="14883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5709">
      <w:bodyDiv w:val="1"/>
      <w:marLeft w:val="0"/>
      <w:marRight w:val="0"/>
      <w:marTop w:val="0"/>
      <w:marBottom w:val="0"/>
      <w:divBdr>
        <w:top w:val="none" w:sz="0" w:space="0" w:color="auto"/>
        <w:left w:val="none" w:sz="0" w:space="0" w:color="auto"/>
        <w:bottom w:val="none" w:sz="0" w:space="0" w:color="auto"/>
        <w:right w:val="none" w:sz="0" w:space="0" w:color="auto"/>
      </w:divBdr>
    </w:div>
    <w:div w:id="392847603">
      <w:bodyDiv w:val="1"/>
      <w:marLeft w:val="0"/>
      <w:marRight w:val="0"/>
      <w:marTop w:val="0"/>
      <w:marBottom w:val="0"/>
      <w:divBdr>
        <w:top w:val="none" w:sz="0" w:space="0" w:color="auto"/>
        <w:left w:val="none" w:sz="0" w:space="0" w:color="auto"/>
        <w:bottom w:val="none" w:sz="0" w:space="0" w:color="auto"/>
        <w:right w:val="none" w:sz="0" w:space="0" w:color="auto"/>
      </w:divBdr>
    </w:div>
    <w:div w:id="463430530">
      <w:bodyDiv w:val="1"/>
      <w:marLeft w:val="0"/>
      <w:marRight w:val="0"/>
      <w:marTop w:val="0"/>
      <w:marBottom w:val="0"/>
      <w:divBdr>
        <w:top w:val="none" w:sz="0" w:space="0" w:color="auto"/>
        <w:left w:val="none" w:sz="0" w:space="0" w:color="auto"/>
        <w:bottom w:val="none" w:sz="0" w:space="0" w:color="auto"/>
        <w:right w:val="none" w:sz="0" w:space="0" w:color="auto"/>
      </w:divBdr>
      <w:divsChild>
        <w:div w:id="443036366">
          <w:marLeft w:val="0"/>
          <w:marRight w:val="0"/>
          <w:marTop w:val="0"/>
          <w:marBottom w:val="0"/>
          <w:divBdr>
            <w:top w:val="none" w:sz="0" w:space="0" w:color="auto"/>
            <w:left w:val="none" w:sz="0" w:space="0" w:color="auto"/>
            <w:bottom w:val="none" w:sz="0" w:space="0" w:color="auto"/>
            <w:right w:val="none" w:sz="0" w:space="0" w:color="auto"/>
          </w:divBdr>
          <w:divsChild>
            <w:div w:id="750197219">
              <w:marLeft w:val="0"/>
              <w:marRight w:val="0"/>
              <w:marTop w:val="0"/>
              <w:marBottom w:val="0"/>
              <w:divBdr>
                <w:top w:val="none" w:sz="0" w:space="0" w:color="auto"/>
                <w:left w:val="none" w:sz="0" w:space="0" w:color="auto"/>
                <w:bottom w:val="none" w:sz="0" w:space="0" w:color="auto"/>
                <w:right w:val="none" w:sz="0" w:space="0" w:color="auto"/>
              </w:divBdr>
              <w:divsChild>
                <w:div w:id="715159845">
                  <w:marLeft w:val="0"/>
                  <w:marRight w:val="0"/>
                  <w:marTop w:val="0"/>
                  <w:marBottom w:val="0"/>
                  <w:divBdr>
                    <w:top w:val="none" w:sz="0" w:space="0" w:color="auto"/>
                    <w:left w:val="none" w:sz="0" w:space="0" w:color="auto"/>
                    <w:bottom w:val="none" w:sz="0" w:space="0" w:color="auto"/>
                    <w:right w:val="none" w:sz="0" w:space="0" w:color="auto"/>
                  </w:divBdr>
                  <w:divsChild>
                    <w:div w:id="10881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98118">
          <w:marLeft w:val="0"/>
          <w:marRight w:val="0"/>
          <w:marTop w:val="0"/>
          <w:marBottom w:val="0"/>
          <w:divBdr>
            <w:top w:val="none" w:sz="0" w:space="0" w:color="auto"/>
            <w:left w:val="none" w:sz="0" w:space="0" w:color="auto"/>
            <w:bottom w:val="none" w:sz="0" w:space="0" w:color="auto"/>
            <w:right w:val="none" w:sz="0" w:space="0" w:color="auto"/>
          </w:divBdr>
        </w:div>
      </w:divsChild>
    </w:div>
    <w:div w:id="468668009">
      <w:bodyDiv w:val="1"/>
      <w:marLeft w:val="0"/>
      <w:marRight w:val="0"/>
      <w:marTop w:val="0"/>
      <w:marBottom w:val="0"/>
      <w:divBdr>
        <w:top w:val="none" w:sz="0" w:space="0" w:color="auto"/>
        <w:left w:val="none" w:sz="0" w:space="0" w:color="auto"/>
        <w:bottom w:val="none" w:sz="0" w:space="0" w:color="auto"/>
        <w:right w:val="none" w:sz="0" w:space="0" w:color="auto"/>
      </w:divBdr>
    </w:div>
    <w:div w:id="489755559">
      <w:bodyDiv w:val="1"/>
      <w:marLeft w:val="0"/>
      <w:marRight w:val="0"/>
      <w:marTop w:val="0"/>
      <w:marBottom w:val="0"/>
      <w:divBdr>
        <w:top w:val="none" w:sz="0" w:space="0" w:color="auto"/>
        <w:left w:val="none" w:sz="0" w:space="0" w:color="auto"/>
        <w:bottom w:val="none" w:sz="0" w:space="0" w:color="auto"/>
        <w:right w:val="none" w:sz="0" w:space="0" w:color="auto"/>
      </w:divBdr>
    </w:div>
    <w:div w:id="522595559">
      <w:bodyDiv w:val="1"/>
      <w:marLeft w:val="0"/>
      <w:marRight w:val="0"/>
      <w:marTop w:val="0"/>
      <w:marBottom w:val="0"/>
      <w:divBdr>
        <w:top w:val="none" w:sz="0" w:space="0" w:color="auto"/>
        <w:left w:val="none" w:sz="0" w:space="0" w:color="auto"/>
        <w:bottom w:val="none" w:sz="0" w:space="0" w:color="auto"/>
        <w:right w:val="none" w:sz="0" w:space="0" w:color="auto"/>
      </w:divBdr>
      <w:divsChild>
        <w:div w:id="1933005100">
          <w:marLeft w:val="0"/>
          <w:marRight w:val="0"/>
          <w:marTop w:val="0"/>
          <w:marBottom w:val="0"/>
          <w:divBdr>
            <w:top w:val="none" w:sz="0" w:space="0" w:color="auto"/>
            <w:left w:val="none" w:sz="0" w:space="0" w:color="auto"/>
            <w:bottom w:val="none" w:sz="0" w:space="0" w:color="auto"/>
            <w:right w:val="none" w:sz="0" w:space="0" w:color="auto"/>
          </w:divBdr>
          <w:divsChild>
            <w:div w:id="673145445">
              <w:marLeft w:val="0"/>
              <w:marRight w:val="0"/>
              <w:marTop w:val="0"/>
              <w:marBottom w:val="0"/>
              <w:divBdr>
                <w:top w:val="none" w:sz="0" w:space="0" w:color="auto"/>
                <w:left w:val="none" w:sz="0" w:space="0" w:color="auto"/>
                <w:bottom w:val="none" w:sz="0" w:space="0" w:color="auto"/>
                <w:right w:val="none" w:sz="0" w:space="0" w:color="auto"/>
              </w:divBdr>
              <w:divsChild>
                <w:div w:id="6760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2310">
      <w:bodyDiv w:val="1"/>
      <w:marLeft w:val="0"/>
      <w:marRight w:val="0"/>
      <w:marTop w:val="0"/>
      <w:marBottom w:val="0"/>
      <w:divBdr>
        <w:top w:val="none" w:sz="0" w:space="0" w:color="auto"/>
        <w:left w:val="none" w:sz="0" w:space="0" w:color="auto"/>
        <w:bottom w:val="none" w:sz="0" w:space="0" w:color="auto"/>
        <w:right w:val="none" w:sz="0" w:space="0" w:color="auto"/>
      </w:divBdr>
    </w:div>
    <w:div w:id="556748165">
      <w:bodyDiv w:val="1"/>
      <w:marLeft w:val="0"/>
      <w:marRight w:val="0"/>
      <w:marTop w:val="0"/>
      <w:marBottom w:val="0"/>
      <w:divBdr>
        <w:top w:val="none" w:sz="0" w:space="0" w:color="auto"/>
        <w:left w:val="none" w:sz="0" w:space="0" w:color="auto"/>
        <w:bottom w:val="none" w:sz="0" w:space="0" w:color="auto"/>
        <w:right w:val="none" w:sz="0" w:space="0" w:color="auto"/>
      </w:divBdr>
    </w:div>
    <w:div w:id="582684453">
      <w:bodyDiv w:val="1"/>
      <w:marLeft w:val="0"/>
      <w:marRight w:val="0"/>
      <w:marTop w:val="0"/>
      <w:marBottom w:val="0"/>
      <w:divBdr>
        <w:top w:val="none" w:sz="0" w:space="0" w:color="auto"/>
        <w:left w:val="none" w:sz="0" w:space="0" w:color="auto"/>
        <w:bottom w:val="none" w:sz="0" w:space="0" w:color="auto"/>
        <w:right w:val="none" w:sz="0" w:space="0" w:color="auto"/>
      </w:divBdr>
      <w:divsChild>
        <w:div w:id="152182487">
          <w:marLeft w:val="0"/>
          <w:marRight w:val="0"/>
          <w:marTop w:val="0"/>
          <w:marBottom w:val="0"/>
          <w:divBdr>
            <w:top w:val="none" w:sz="0" w:space="0" w:color="auto"/>
            <w:left w:val="none" w:sz="0" w:space="0" w:color="auto"/>
            <w:bottom w:val="none" w:sz="0" w:space="0" w:color="auto"/>
            <w:right w:val="none" w:sz="0" w:space="0" w:color="auto"/>
          </w:divBdr>
          <w:divsChild>
            <w:div w:id="1254820274">
              <w:marLeft w:val="0"/>
              <w:marRight w:val="0"/>
              <w:marTop w:val="0"/>
              <w:marBottom w:val="0"/>
              <w:divBdr>
                <w:top w:val="none" w:sz="0" w:space="0" w:color="auto"/>
                <w:left w:val="none" w:sz="0" w:space="0" w:color="auto"/>
                <w:bottom w:val="none" w:sz="0" w:space="0" w:color="auto"/>
                <w:right w:val="none" w:sz="0" w:space="0" w:color="auto"/>
              </w:divBdr>
              <w:divsChild>
                <w:div w:id="2611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146">
      <w:bodyDiv w:val="1"/>
      <w:marLeft w:val="0"/>
      <w:marRight w:val="0"/>
      <w:marTop w:val="0"/>
      <w:marBottom w:val="0"/>
      <w:divBdr>
        <w:top w:val="none" w:sz="0" w:space="0" w:color="auto"/>
        <w:left w:val="none" w:sz="0" w:space="0" w:color="auto"/>
        <w:bottom w:val="none" w:sz="0" w:space="0" w:color="auto"/>
        <w:right w:val="none" w:sz="0" w:space="0" w:color="auto"/>
      </w:divBdr>
    </w:div>
    <w:div w:id="623849760">
      <w:bodyDiv w:val="1"/>
      <w:marLeft w:val="0"/>
      <w:marRight w:val="0"/>
      <w:marTop w:val="0"/>
      <w:marBottom w:val="0"/>
      <w:divBdr>
        <w:top w:val="none" w:sz="0" w:space="0" w:color="auto"/>
        <w:left w:val="none" w:sz="0" w:space="0" w:color="auto"/>
        <w:bottom w:val="none" w:sz="0" w:space="0" w:color="auto"/>
        <w:right w:val="none" w:sz="0" w:space="0" w:color="auto"/>
      </w:divBdr>
    </w:div>
    <w:div w:id="652947064">
      <w:bodyDiv w:val="1"/>
      <w:marLeft w:val="0"/>
      <w:marRight w:val="0"/>
      <w:marTop w:val="0"/>
      <w:marBottom w:val="0"/>
      <w:divBdr>
        <w:top w:val="none" w:sz="0" w:space="0" w:color="auto"/>
        <w:left w:val="none" w:sz="0" w:space="0" w:color="auto"/>
        <w:bottom w:val="none" w:sz="0" w:space="0" w:color="auto"/>
        <w:right w:val="none" w:sz="0" w:space="0" w:color="auto"/>
      </w:divBdr>
    </w:div>
    <w:div w:id="656113556">
      <w:bodyDiv w:val="1"/>
      <w:marLeft w:val="0"/>
      <w:marRight w:val="0"/>
      <w:marTop w:val="0"/>
      <w:marBottom w:val="0"/>
      <w:divBdr>
        <w:top w:val="none" w:sz="0" w:space="0" w:color="auto"/>
        <w:left w:val="none" w:sz="0" w:space="0" w:color="auto"/>
        <w:bottom w:val="none" w:sz="0" w:space="0" w:color="auto"/>
        <w:right w:val="none" w:sz="0" w:space="0" w:color="auto"/>
      </w:divBdr>
      <w:divsChild>
        <w:div w:id="842818684">
          <w:marLeft w:val="450"/>
          <w:marRight w:val="4800"/>
          <w:marTop w:val="480"/>
          <w:marBottom w:val="480"/>
          <w:divBdr>
            <w:top w:val="none" w:sz="0" w:space="0" w:color="auto"/>
            <w:left w:val="none" w:sz="0" w:space="0" w:color="auto"/>
            <w:bottom w:val="none" w:sz="0" w:space="0" w:color="auto"/>
            <w:right w:val="none" w:sz="0" w:space="0" w:color="auto"/>
          </w:divBdr>
          <w:divsChild>
            <w:div w:id="1080834312">
              <w:marLeft w:val="0"/>
              <w:marRight w:val="0"/>
              <w:marTop w:val="0"/>
              <w:marBottom w:val="0"/>
              <w:divBdr>
                <w:top w:val="none" w:sz="0" w:space="0" w:color="auto"/>
                <w:left w:val="none" w:sz="0" w:space="0" w:color="auto"/>
                <w:bottom w:val="none" w:sz="0" w:space="0" w:color="auto"/>
                <w:right w:val="none" w:sz="0" w:space="0" w:color="auto"/>
              </w:divBdr>
            </w:div>
            <w:div w:id="23673788">
              <w:marLeft w:val="0"/>
              <w:marRight w:val="0"/>
              <w:marTop w:val="0"/>
              <w:marBottom w:val="0"/>
              <w:divBdr>
                <w:top w:val="none" w:sz="0" w:space="0" w:color="auto"/>
                <w:left w:val="none" w:sz="0" w:space="0" w:color="auto"/>
                <w:bottom w:val="none" w:sz="0" w:space="0" w:color="auto"/>
                <w:right w:val="none" w:sz="0" w:space="0" w:color="auto"/>
              </w:divBdr>
            </w:div>
          </w:divsChild>
        </w:div>
        <w:div w:id="385572901">
          <w:marLeft w:val="450"/>
          <w:marRight w:val="4800"/>
          <w:marTop w:val="0"/>
          <w:marBottom w:val="0"/>
          <w:divBdr>
            <w:top w:val="none" w:sz="0" w:space="0" w:color="auto"/>
            <w:left w:val="none" w:sz="0" w:space="0" w:color="auto"/>
            <w:bottom w:val="none" w:sz="0" w:space="0" w:color="auto"/>
            <w:right w:val="none" w:sz="0" w:space="0" w:color="auto"/>
          </w:divBdr>
        </w:div>
        <w:div w:id="280037227">
          <w:marLeft w:val="450"/>
          <w:marRight w:val="4800"/>
          <w:marTop w:val="0"/>
          <w:marBottom w:val="0"/>
          <w:divBdr>
            <w:top w:val="none" w:sz="0" w:space="0" w:color="auto"/>
            <w:left w:val="none" w:sz="0" w:space="0" w:color="auto"/>
            <w:bottom w:val="none" w:sz="0" w:space="0" w:color="auto"/>
            <w:right w:val="none" w:sz="0" w:space="0" w:color="auto"/>
          </w:divBdr>
        </w:div>
      </w:divsChild>
    </w:div>
    <w:div w:id="689645778">
      <w:bodyDiv w:val="1"/>
      <w:marLeft w:val="0"/>
      <w:marRight w:val="0"/>
      <w:marTop w:val="0"/>
      <w:marBottom w:val="0"/>
      <w:divBdr>
        <w:top w:val="none" w:sz="0" w:space="0" w:color="auto"/>
        <w:left w:val="none" w:sz="0" w:space="0" w:color="auto"/>
        <w:bottom w:val="none" w:sz="0" w:space="0" w:color="auto"/>
        <w:right w:val="none" w:sz="0" w:space="0" w:color="auto"/>
      </w:divBdr>
    </w:div>
    <w:div w:id="710959459">
      <w:bodyDiv w:val="1"/>
      <w:marLeft w:val="0"/>
      <w:marRight w:val="0"/>
      <w:marTop w:val="0"/>
      <w:marBottom w:val="0"/>
      <w:divBdr>
        <w:top w:val="none" w:sz="0" w:space="0" w:color="auto"/>
        <w:left w:val="none" w:sz="0" w:space="0" w:color="auto"/>
        <w:bottom w:val="none" w:sz="0" w:space="0" w:color="auto"/>
        <w:right w:val="none" w:sz="0" w:space="0" w:color="auto"/>
      </w:divBdr>
    </w:div>
    <w:div w:id="996299350">
      <w:bodyDiv w:val="1"/>
      <w:marLeft w:val="0"/>
      <w:marRight w:val="0"/>
      <w:marTop w:val="0"/>
      <w:marBottom w:val="0"/>
      <w:divBdr>
        <w:top w:val="none" w:sz="0" w:space="0" w:color="auto"/>
        <w:left w:val="none" w:sz="0" w:space="0" w:color="auto"/>
        <w:bottom w:val="none" w:sz="0" w:space="0" w:color="auto"/>
        <w:right w:val="none" w:sz="0" w:space="0" w:color="auto"/>
      </w:divBdr>
    </w:div>
    <w:div w:id="1030489923">
      <w:bodyDiv w:val="1"/>
      <w:marLeft w:val="0"/>
      <w:marRight w:val="0"/>
      <w:marTop w:val="0"/>
      <w:marBottom w:val="0"/>
      <w:divBdr>
        <w:top w:val="none" w:sz="0" w:space="0" w:color="auto"/>
        <w:left w:val="none" w:sz="0" w:space="0" w:color="auto"/>
        <w:bottom w:val="none" w:sz="0" w:space="0" w:color="auto"/>
        <w:right w:val="none" w:sz="0" w:space="0" w:color="auto"/>
      </w:divBdr>
    </w:div>
    <w:div w:id="1100954381">
      <w:bodyDiv w:val="1"/>
      <w:marLeft w:val="0"/>
      <w:marRight w:val="0"/>
      <w:marTop w:val="0"/>
      <w:marBottom w:val="0"/>
      <w:divBdr>
        <w:top w:val="none" w:sz="0" w:space="0" w:color="auto"/>
        <w:left w:val="none" w:sz="0" w:space="0" w:color="auto"/>
        <w:bottom w:val="none" w:sz="0" w:space="0" w:color="auto"/>
        <w:right w:val="none" w:sz="0" w:space="0" w:color="auto"/>
      </w:divBdr>
      <w:divsChild>
        <w:div w:id="1063142440">
          <w:marLeft w:val="0"/>
          <w:marRight w:val="0"/>
          <w:marTop w:val="0"/>
          <w:marBottom w:val="0"/>
          <w:divBdr>
            <w:top w:val="none" w:sz="0" w:space="0" w:color="auto"/>
            <w:left w:val="none" w:sz="0" w:space="0" w:color="auto"/>
            <w:bottom w:val="none" w:sz="0" w:space="0" w:color="auto"/>
            <w:right w:val="none" w:sz="0" w:space="0" w:color="auto"/>
          </w:divBdr>
          <w:divsChild>
            <w:div w:id="1236279490">
              <w:marLeft w:val="0"/>
              <w:marRight w:val="0"/>
              <w:marTop w:val="0"/>
              <w:marBottom w:val="0"/>
              <w:divBdr>
                <w:top w:val="none" w:sz="0" w:space="0" w:color="auto"/>
                <w:left w:val="none" w:sz="0" w:space="0" w:color="auto"/>
                <w:bottom w:val="none" w:sz="0" w:space="0" w:color="auto"/>
                <w:right w:val="none" w:sz="0" w:space="0" w:color="auto"/>
              </w:divBdr>
              <w:divsChild>
                <w:div w:id="3469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68835">
      <w:bodyDiv w:val="1"/>
      <w:marLeft w:val="0"/>
      <w:marRight w:val="0"/>
      <w:marTop w:val="0"/>
      <w:marBottom w:val="0"/>
      <w:divBdr>
        <w:top w:val="none" w:sz="0" w:space="0" w:color="auto"/>
        <w:left w:val="none" w:sz="0" w:space="0" w:color="auto"/>
        <w:bottom w:val="none" w:sz="0" w:space="0" w:color="auto"/>
        <w:right w:val="none" w:sz="0" w:space="0" w:color="auto"/>
      </w:divBdr>
    </w:div>
    <w:div w:id="1183593386">
      <w:bodyDiv w:val="1"/>
      <w:marLeft w:val="0"/>
      <w:marRight w:val="0"/>
      <w:marTop w:val="0"/>
      <w:marBottom w:val="0"/>
      <w:divBdr>
        <w:top w:val="none" w:sz="0" w:space="0" w:color="auto"/>
        <w:left w:val="none" w:sz="0" w:space="0" w:color="auto"/>
        <w:bottom w:val="none" w:sz="0" w:space="0" w:color="auto"/>
        <w:right w:val="none" w:sz="0" w:space="0" w:color="auto"/>
      </w:divBdr>
    </w:div>
    <w:div w:id="1246502059">
      <w:bodyDiv w:val="1"/>
      <w:marLeft w:val="0"/>
      <w:marRight w:val="0"/>
      <w:marTop w:val="0"/>
      <w:marBottom w:val="0"/>
      <w:divBdr>
        <w:top w:val="none" w:sz="0" w:space="0" w:color="auto"/>
        <w:left w:val="none" w:sz="0" w:space="0" w:color="auto"/>
        <w:bottom w:val="none" w:sz="0" w:space="0" w:color="auto"/>
        <w:right w:val="none" w:sz="0" w:space="0" w:color="auto"/>
      </w:divBdr>
    </w:div>
    <w:div w:id="1282224662">
      <w:bodyDiv w:val="1"/>
      <w:marLeft w:val="0"/>
      <w:marRight w:val="0"/>
      <w:marTop w:val="0"/>
      <w:marBottom w:val="0"/>
      <w:divBdr>
        <w:top w:val="none" w:sz="0" w:space="0" w:color="auto"/>
        <w:left w:val="none" w:sz="0" w:space="0" w:color="auto"/>
        <w:bottom w:val="none" w:sz="0" w:space="0" w:color="auto"/>
        <w:right w:val="none" w:sz="0" w:space="0" w:color="auto"/>
      </w:divBdr>
      <w:divsChild>
        <w:div w:id="1583219784">
          <w:marLeft w:val="0"/>
          <w:marRight w:val="0"/>
          <w:marTop w:val="0"/>
          <w:marBottom w:val="0"/>
          <w:divBdr>
            <w:top w:val="none" w:sz="0" w:space="0" w:color="auto"/>
            <w:left w:val="none" w:sz="0" w:space="0" w:color="auto"/>
            <w:bottom w:val="none" w:sz="0" w:space="0" w:color="auto"/>
            <w:right w:val="none" w:sz="0" w:space="0" w:color="auto"/>
          </w:divBdr>
          <w:divsChild>
            <w:div w:id="2062248760">
              <w:marLeft w:val="0"/>
              <w:marRight w:val="0"/>
              <w:marTop w:val="0"/>
              <w:marBottom w:val="0"/>
              <w:divBdr>
                <w:top w:val="none" w:sz="0" w:space="0" w:color="auto"/>
                <w:left w:val="none" w:sz="0" w:space="0" w:color="auto"/>
                <w:bottom w:val="none" w:sz="0" w:space="0" w:color="auto"/>
                <w:right w:val="none" w:sz="0" w:space="0" w:color="auto"/>
              </w:divBdr>
              <w:divsChild>
                <w:div w:id="12786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01775">
      <w:bodyDiv w:val="1"/>
      <w:marLeft w:val="0"/>
      <w:marRight w:val="0"/>
      <w:marTop w:val="0"/>
      <w:marBottom w:val="0"/>
      <w:divBdr>
        <w:top w:val="none" w:sz="0" w:space="0" w:color="auto"/>
        <w:left w:val="none" w:sz="0" w:space="0" w:color="auto"/>
        <w:bottom w:val="none" w:sz="0" w:space="0" w:color="auto"/>
        <w:right w:val="none" w:sz="0" w:space="0" w:color="auto"/>
      </w:divBdr>
    </w:div>
    <w:div w:id="1309286384">
      <w:bodyDiv w:val="1"/>
      <w:marLeft w:val="0"/>
      <w:marRight w:val="0"/>
      <w:marTop w:val="0"/>
      <w:marBottom w:val="0"/>
      <w:divBdr>
        <w:top w:val="none" w:sz="0" w:space="0" w:color="auto"/>
        <w:left w:val="none" w:sz="0" w:space="0" w:color="auto"/>
        <w:bottom w:val="none" w:sz="0" w:space="0" w:color="auto"/>
        <w:right w:val="none" w:sz="0" w:space="0" w:color="auto"/>
      </w:divBdr>
      <w:divsChild>
        <w:div w:id="1616593503">
          <w:marLeft w:val="0"/>
          <w:marRight w:val="0"/>
          <w:marTop w:val="0"/>
          <w:marBottom w:val="0"/>
          <w:divBdr>
            <w:top w:val="none" w:sz="0" w:space="0" w:color="auto"/>
            <w:left w:val="none" w:sz="0" w:space="0" w:color="auto"/>
            <w:bottom w:val="none" w:sz="0" w:space="0" w:color="auto"/>
            <w:right w:val="none" w:sz="0" w:space="0" w:color="auto"/>
          </w:divBdr>
          <w:divsChild>
            <w:div w:id="1518276585">
              <w:marLeft w:val="0"/>
              <w:marRight w:val="0"/>
              <w:marTop w:val="0"/>
              <w:marBottom w:val="0"/>
              <w:divBdr>
                <w:top w:val="none" w:sz="0" w:space="0" w:color="auto"/>
                <w:left w:val="none" w:sz="0" w:space="0" w:color="auto"/>
                <w:bottom w:val="none" w:sz="0" w:space="0" w:color="auto"/>
                <w:right w:val="none" w:sz="0" w:space="0" w:color="auto"/>
              </w:divBdr>
              <w:divsChild>
                <w:div w:id="9832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4174">
      <w:bodyDiv w:val="1"/>
      <w:marLeft w:val="0"/>
      <w:marRight w:val="0"/>
      <w:marTop w:val="0"/>
      <w:marBottom w:val="0"/>
      <w:divBdr>
        <w:top w:val="none" w:sz="0" w:space="0" w:color="auto"/>
        <w:left w:val="none" w:sz="0" w:space="0" w:color="auto"/>
        <w:bottom w:val="none" w:sz="0" w:space="0" w:color="auto"/>
        <w:right w:val="none" w:sz="0" w:space="0" w:color="auto"/>
      </w:divBdr>
      <w:divsChild>
        <w:div w:id="1303003065">
          <w:marLeft w:val="450"/>
          <w:marRight w:val="4800"/>
          <w:marTop w:val="480"/>
          <w:marBottom w:val="480"/>
          <w:divBdr>
            <w:top w:val="none" w:sz="0" w:space="0" w:color="auto"/>
            <w:left w:val="none" w:sz="0" w:space="0" w:color="auto"/>
            <w:bottom w:val="none" w:sz="0" w:space="0" w:color="auto"/>
            <w:right w:val="none" w:sz="0" w:space="0" w:color="auto"/>
          </w:divBdr>
          <w:divsChild>
            <w:div w:id="1607076689">
              <w:marLeft w:val="0"/>
              <w:marRight w:val="0"/>
              <w:marTop w:val="0"/>
              <w:marBottom w:val="0"/>
              <w:divBdr>
                <w:top w:val="none" w:sz="0" w:space="0" w:color="auto"/>
                <w:left w:val="none" w:sz="0" w:space="0" w:color="auto"/>
                <w:bottom w:val="none" w:sz="0" w:space="0" w:color="auto"/>
                <w:right w:val="none" w:sz="0" w:space="0" w:color="auto"/>
              </w:divBdr>
            </w:div>
            <w:div w:id="824005640">
              <w:marLeft w:val="0"/>
              <w:marRight w:val="0"/>
              <w:marTop w:val="0"/>
              <w:marBottom w:val="0"/>
              <w:divBdr>
                <w:top w:val="none" w:sz="0" w:space="0" w:color="auto"/>
                <w:left w:val="none" w:sz="0" w:space="0" w:color="auto"/>
                <w:bottom w:val="none" w:sz="0" w:space="0" w:color="auto"/>
                <w:right w:val="none" w:sz="0" w:space="0" w:color="auto"/>
              </w:divBdr>
            </w:div>
          </w:divsChild>
        </w:div>
        <w:div w:id="1159350772">
          <w:marLeft w:val="450"/>
          <w:marRight w:val="4800"/>
          <w:marTop w:val="0"/>
          <w:marBottom w:val="0"/>
          <w:divBdr>
            <w:top w:val="none" w:sz="0" w:space="0" w:color="auto"/>
            <w:left w:val="none" w:sz="0" w:space="0" w:color="auto"/>
            <w:bottom w:val="none" w:sz="0" w:space="0" w:color="auto"/>
            <w:right w:val="none" w:sz="0" w:space="0" w:color="auto"/>
          </w:divBdr>
        </w:div>
        <w:div w:id="830023538">
          <w:marLeft w:val="450"/>
          <w:marRight w:val="4800"/>
          <w:marTop w:val="0"/>
          <w:marBottom w:val="0"/>
          <w:divBdr>
            <w:top w:val="none" w:sz="0" w:space="0" w:color="auto"/>
            <w:left w:val="none" w:sz="0" w:space="0" w:color="auto"/>
            <w:bottom w:val="none" w:sz="0" w:space="0" w:color="auto"/>
            <w:right w:val="none" w:sz="0" w:space="0" w:color="auto"/>
          </w:divBdr>
        </w:div>
      </w:divsChild>
    </w:div>
    <w:div w:id="1404598657">
      <w:bodyDiv w:val="1"/>
      <w:marLeft w:val="0"/>
      <w:marRight w:val="0"/>
      <w:marTop w:val="0"/>
      <w:marBottom w:val="0"/>
      <w:divBdr>
        <w:top w:val="none" w:sz="0" w:space="0" w:color="auto"/>
        <w:left w:val="none" w:sz="0" w:space="0" w:color="auto"/>
        <w:bottom w:val="none" w:sz="0" w:space="0" w:color="auto"/>
        <w:right w:val="none" w:sz="0" w:space="0" w:color="auto"/>
      </w:divBdr>
    </w:div>
    <w:div w:id="1415206274">
      <w:bodyDiv w:val="1"/>
      <w:marLeft w:val="0"/>
      <w:marRight w:val="0"/>
      <w:marTop w:val="0"/>
      <w:marBottom w:val="0"/>
      <w:divBdr>
        <w:top w:val="none" w:sz="0" w:space="0" w:color="auto"/>
        <w:left w:val="none" w:sz="0" w:space="0" w:color="auto"/>
        <w:bottom w:val="none" w:sz="0" w:space="0" w:color="auto"/>
        <w:right w:val="none" w:sz="0" w:space="0" w:color="auto"/>
      </w:divBdr>
    </w:div>
    <w:div w:id="1422752220">
      <w:bodyDiv w:val="1"/>
      <w:marLeft w:val="0"/>
      <w:marRight w:val="0"/>
      <w:marTop w:val="0"/>
      <w:marBottom w:val="0"/>
      <w:divBdr>
        <w:top w:val="none" w:sz="0" w:space="0" w:color="auto"/>
        <w:left w:val="none" w:sz="0" w:space="0" w:color="auto"/>
        <w:bottom w:val="none" w:sz="0" w:space="0" w:color="auto"/>
        <w:right w:val="none" w:sz="0" w:space="0" w:color="auto"/>
      </w:divBdr>
      <w:divsChild>
        <w:div w:id="2089231938">
          <w:marLeft w:val="0"/>
          <w:marRight w:val="0"/>
          <w:marTop w:val="0"/>
          <w:marBottom w:val="0"/>
          <w:divBdr>
            <w:top w:val="none" w:sz="0" w:space="0" w:color="auto"/>
            <w:left w:val="none" w:sz="0" w:space="0" w:color="auto"/>
            <w:bottom w:val="none" w:sz="0" w:space="0" w:color="auto"/>
            <w:right w:val="none" w:sz="0" w:space="0" w:color="auto"/>
          </w:divBdr>
          <w:divsChild>
            <w:div w:id="249656638">
              <w:marLeft w:val="0"/>
              <w:marRight w:val="0"/>
              <w:marTop w:val="0"/>
              <w:marBottom w:val="0"/>
              <w:divBdr>
                <w:top w:val="none" w:sz="0" w:space="0" w:color="auto"/>
                <w:left w:val="none" w:sz="0" w:space="0" w:color="auto"/>
                <w:bottom w:val="none" w:sz="0" w:space="0" w:color="auto"/>
                <w:right w:val="none" w:sz="0" w:space="0" w:color="auto"/>
              </w:divBdr>
              <w:divsChild>
                <w:div w:id="10732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6430">
      <w:bodyDiv w:val="1"/>
      <w:marLeft w:val="0"/>
      <w:marRight w:val="0"/>
      <w:marTop w:val="0"/>
      <w:marBottom w:val="0"/>
      <w:divBdr>
        <w:top w:val="none" w:sz="0" w:space="0" w:color="auto"/>
        <w:left w:val="none" w:sz="0" w:space="0" w:color="auto"/>
        <w:bottom w:val="none" w:sz="0" w:space="0" w:color="auto"/>
        <w:right w:val="none" w:sz="0" w:space="0" w:color="auto"/>
      </w:divBdr>
    </w:div>
    <w:div w:id="1498500220">
      <w:bodyDiv w:val="1"/>
      <w:marLeft w:val="0"/>
      <w:marRight w:val="0"/>
      <w:marTop w:val="0"/>
      <w:marBottom w:val="0"/>
      <w:divBdr>
        <w:top w:val="none" w:sz="0" w:space="0" w:color="auto"/>
        <w:left w:val="none" w:sz="0" w:space="0" w:color="auto"/>
        <w:bottom w:val="none" w:sz="0" w:space="0" w:color="auto"/>
        <w:right w:val="none" w:sz="0" w:space="0" w:color="auto"/>
      </w:divBdr>
    </w:div>
    <w:div w:id="1505824866">
      <w:bodyDiv w:val="1"/>
      <w:marLeft w:val="0"/>
      <w:marRight w:val="0"/>
      <w:marTop w:val="0"/>
      <w:marBottom w:val="0"/>
      <w:divBdr>
        <w:top w:val="none" w:sz="0" w:space="0" w:color="auto"/>
        <w:left w:val="none" w:sz="0" w:space="0" w:color="auto"/>
        <w:bottom w:val="none" w:sz="0" w:space="0" w:color="auto"/>
        <w:right w:val="none" w:sz="0" w:space="0" w:color="auto"/>
      </w:divBdr>
    </w:div>
    <w:div w:id="1576282459">
      <w:bodyDiv w:val="1"/>
      <w:marLeft w:val="0"/>
      <w:marRight w:val="0"/>
      <w:marTop w:val="0"/>
      <w:marBottom w:val="0"/>
      <w:divBdr>
        <w:top w:val="none" w:sz="0" w:space="0" w:color="auto"/>
        <w:left w:val="none" w:sz="0" w:space="0" w:color="auto"/>
        <w:bottom w:val="none" w:sz="0" w:space="0" w:color="auto"/>
        <w:right w:val="none" w:sz="0" w:space="0" w:color="auto"/>
      </w:divBdr>
    </w:div>
    <w:div w:id="1603951523">
      <w:bodyDiv w:val="1"/>
      <w:marLeft w:val="0"/>
      <w:marRight w:val="0"/>
      <w:marTop w:val="0"/>
      <w:marBottom w:val="0"/>
      <w:divBdr>
        <w:top w:val="none" w:sz="0" w:space="0" w:color="auto"/>
        <w:left w:val="none" w:sz="0" w:space="0" w:color="auto"/>
        <w:bottom w:val="none" w:sz="0" w:space="0" w:color="auto"/>
        <w:right w:val="none" w:sz="0" w:space="0" w:color="auto"/>
      </w:divBdr>
    </w:div>
    <w:div w:id="1632201679">
      <w:bodyDiv w:val="1"/>
      <w:marLeft w:val="0"/>
      <w:marRight w:val="0"/>
      <w:marTop w:val="0"/>
      <w:marBottom w:val="0"/>
      <w:divBdr>
        <w:top w:val="none" w:sz="0" w:space="0" w:color="auto"/>
        <w:left w:val="none" w:sz="0" w:space="0" w:color="auto"/>
        <w:bottom w:val="none" w:sz="0" w:space="0" w:color="auto"/>
        <w:right w:val="none" w:sz="0" w:space="0" w:color="auto"/>
      </w:divBdr>
    </w:div>
    <w:div w:id="1634629816">
      <w:bodyDiv w:val="1"/>
      <w:marLeft w:val="0"/>
      <w:marRight w:val="0"/>
      <w:marTop w:val="0"/>
      <w:marBottom w:val="0"/>
      <w:divBdr>
        <w:top w:val="none" w:sz="0" w:space="0" w:color="auto"/>
        <w:left w:val="none" w:sz="0" w:space="0" w:color="auto"/>
        <w:bottom w:val="none" w:sz="0" w:space="0" w:color="auto"/>
        <w:right w:val="none" w:sz="0" w:space="0" w:color="auto"/>
      </w:divBdr>
    </w:div>
    <w:div w:id="1639413963">
      <w:bodyDiv w:val="1"/>
      <w:marLeft w:val="0"/>
      <w:marRight w:val="0"/>
      <w:marTop w:val="0"/>
      <w:marBottom w:val="0"/>
      <w:divBdr>
        <w:top w:val="none" w:sz="0" w:space="0" w:color="auto"/>
        <w:left w:val="none" w:sz="0" w:space="0" w:color="auto"/>
        <w:bottom w:val="none" w:sz="0" w:space="0" w:color="auto"/>
        <w:right w:val="none" w:sz="0" w:space="0" w:color="auto"/>
      </w:divBdr>
    </w:div>
    <w:div w:id="1721634619">
      <w:bodyDiv w:val="1"/>
      <w:marLeft w:val="0"/>
      <w:marRight w:val="0"/>
      <w:marTop w:val="0"/>
      <w:marBottom w:val="0"/>
      <w:divBdr>
        <w:top w:val="none" w:sz="0" w:space="0" w:color="auto"/>
        <w:left w:val="none" w:sz="0" w:space="0" w:color="auto"/>
        <w:bottom w:val="none" w:sz="0" w:space="0" w:color="auto"/>
        <w:right w:val="none" w:sz="0" w:space="0" w:color="auto"/>
      </w:divBdr>
    </w:div>
    <w:div w:id="1829707854">
      <w:bodyDiv w:val="1"/>
      <w:marLeft w:val="0"/>
      <w:marRight w:val="0"/>
      <w:marTop w:val="0"/>
      <w:marBottom w:val="0"/>
      <w:divBdr>
        <w:top w:val="none" w:sz="0" w:space="0" w:color="auto"/>
        <w:left w:val="none" w:sz="0" w:space="0" w:color="auto"/>
        <w:bottom w:val="none" w:sz="0" w:space="0" w:color="auto"/>
        <w:right w:val="none" w:sz="0" w:space="0" w:color="auto"/>
      </w:divBdr>
    </w:div>
    <w:div w:id="1892689925">
      <w:bodyDiv w:val="1"/>
      <w:marLeft w:val="0"/>
      <w:marRight w:val="0"/>
      <w:marTop w:val="0"/>
      <w:marBottom w:val="0"/>
      <w:divBdr>
        <w:top w:val="none" w:sz="0" w:space="0" w:color="auto"/>
        <w:left w:val="none" w:sz="0" w:space="0" w:color="auto"/>
        <w:bottom w:val="none" w:sz="0" w:space="0" w:color="auto"/>
        <w:right w:val="none" w:sz="0" w:space="0" w:color="auto"/>
      </w:divBdr>
    </w:div>
    <w:div w:id="1919092112">
      <w:bodyDiv w:val="1"/>
      <w:marLeft w:val="0"/>
      <w:marRight w:val="0"/>
      <w:marTop w:val="0"/>
      <w:marBottom w:val="0"/>
      <w:divBdr>
        <w:top w:val="none" w:sz="0" w:space="0" w:color="auto"/>
        <w:left w:val="none" w:sz="0" w:space="0" w:color="auto"/>
        <w:bottom w:val="none" w:sz="0" w:space="0" w:color="auto"/>
        <w:right w:val="none" w:sz="0" w:space="0" w:color="auto"/>
      </w:divBdr>
    </w:div>
    <w:div w:id="1972831519">
      <w:bodyDiv w:val="1"/>
      <w:marLeft w:val="0"/>
      <w:marRight w:val="0"/>
      <w:marTop w:val="0"/>
      <w:marBottom w:val="0"/>
      <w:divBdr>
        <w:top w:val="none" w:sz="0" w:space="0" w:color="auto"/>
        <w:left w:val="none" w:sz="0" w:space="0" w:color="auto"/>
        <w:bottom w:val="none" w:sz="0" w:space="0" w:color="auto"/>
        <w:right w:val="none" w:sz="0" w:space="0" w:color="auto"/>
      </w:divBdr>
    </w:div>
    <w:div w:id="2031947289">
      <w:bodyDiv w:val="1"/>
      <w:marLeft w:val="0"/>
      <w:marRight w:val="0"/>
      <w:marTop w:val="0"/>
      <w:marBottom w:val="0"/>
      <w:divBdr>
        <w:top w:val="none" w:sz="0" w:space="0" w:color="auto"/>
        <w:left w:val="none" w:sz="0" w:space="0" w:color="auto"/>
        <w:bottom w:val="none" w:sz="0" w:space="0" w:color="auto"/>
        <w:right w:val="none" w:sz="0" w:space="0" w:color="auto"/>
      </w:divBdr>
    </w:div>
    <w:div w:id="2040080717">
      <w:bodyDiv w:val="1"/>
      <w:marLeft w:val="0"/>
      <w:marRight w:val="0"/>
      <w:marTop w:val="0"/>
      <w:marBottom w:val="0"/>
      <w:divBdr>
        <w:top w:val="none" w:sz="0" w:space="0" w:color="auto"/>
        <w:left w:val="none" w:sz="0" w:space="0" w:color="auto"/>
        <w:bottom w:val="none" w:sz="0" w:space="0" w:color="auto"/>
        <w:right w:val="none" w:sz="0" w:space="0" w:color="auto"/>
      </w:divBdr>
    </w:div>
    <w:div w:id="205700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3B5B4-13C5-7A44-95B0-44711788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17</Pages>
  <Words>7396</Words>
  <Characters>40682</Characters>
  <Application>Microsoft Office Word</Application>
  <DocSecurity>0</DocSecurity>
  <Lines>339</Lines>
  <Paragraphs>95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TOP</dc:creator>
  <cp:keywords/>
  <dc:description/>
  <cp:lastModifiedBy>Sibel TOP</cp:lastModifiedBy>
  <cp:revision>113</cp:revision>
  <cp:lastPrinted>2020-10-31T19:47:00Z</cp:lastPrinted>
  <dcterms:created xsi:type="dcterms:W3CDTF">2020-11-05T00:45:00Z</dcterms:created>
  <dcterms:modified xsi:type="dcterms:W3CDTF">2020-11-08T18:01:00Z</dcterms:modified>
</cp:coreProperties>
</file>